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0ED7" w14:textId="60D28C08" w:rsidR="00C8433F" w:rsidRPr="00054520" w:rsidRDefault="007068CA" w:rsidP="00B05862">
      <w:pPr>
        <w:jc w:val="center"/>
        <w:rPr>
          <w:b/>
          <w:sz w:val="28"/>
        </w:rPr>
      </w:pPr>
      <w:r>
        <w:rPr>
          <w:b/>
          <w:sz w:val="28"/>
        </w:rPr>
        <w:t>Non-Tenure Line (NTL)</w:t>
      </w:r>
      <w:r w:rsidR="00B05862" w:rsidRPr="00054520">
        <w:rPr>
          <w:b/>
          <w:sz w:val="28"/>
        </w:rPr>
        <w:t xml:space="preserve"> </w:t>
      </w:r>
      <w:r w:rsidR="003E31D9" w:rsidRPr="00054520">
        <w:rPr>
          <w:b/>
          <w:sz w:val="28"/>
        </w:rPr>
        <w:t xml:space="preserve">Faculty </w:t>
      </w:r>
      <w:r w:rsidR="00B05862" w:rsidRPr="00054520">
        <w:rPr>
          <w:b/>
          <w:sz w:val="28"/>
        </w:rPr>
        <w:t>Policies</w:t>
      </w:r>
    </w:p>
    <w:p w14:paraId="680AFFEE" w14:textId="77777777" w:rsidR="00C25F9B" w:rsidRPr="00054520" w:rsidRDefault="00C25F9B" w:rsidP="00B05862">
      <w:pPr>
        <w:jc w:val="center"/>
        <w:rPr>
          <w:b/>
          <w:sz w:val="28"/>
        </w:rPr>
      </w:pPr>
      <w:r w:rsidRPr="00054520">
        <w:rPr>
          <w:b/>
          <w:sz w:val="28"/>
        </w:rPr>
        <w:t>Department of Meteorology and Atmospheric Science</w:t>
      </w:r>
    </w:p>
    <w:p w14:paraId="090945A6" w14:textId="77777777" w:rsidR="00C25F9B" w:rsidRDefault="00C25F9B"/>
    <w:p w14:paraId="41A37505" w14:textId="76EEA068" w:rsidR="00F56CB6" w:rsidRPr="00F56CB6" w:rsidRDefault="00F56CB6" w:rsidP="00F56CB6">
      <w:pPr>
        <w:jc w:val="center"/>
        <w:rPr>
          <w:i/>
        </w:rPr>
      </w:pPr>
      <w:r w:rsidRPr="00F56CB6">
        <w:rPr>
          <w:i/>
        </w:rPr>
        <w:t>Approved 12 November 2018</w:t>
      </w:r>
    </w:p>
    <w:p w14:paraId="36CD2419" w14:textId="77777777" w:rsidR="00F56CB6" w:rsidRDefault="00F56CB6"/>
    <w:p w14:paraId="61527111" w14:textId="3A158666" w:rsidR="00835CBB" w:rsidRDefault="001A0E82" w:rsidP="000F081B">
      <w:pPr>
        <w:jc w:val="both"/>
      </w:pPr>
      <w:r>
        <w:t>Non-Tenure Line (NTL)</w:t>
      </w:r>
      <w:r w:rsidR="00517E27">
        <w:t xml:space="preserve"> faculty augment the extent and range of activities performed by tenured faculty.  </w:t>
      </w:r>
      <w:r>
        <w:t>NTL</w:t>
      </w:r>
      <w:r w:rsidR="00517E27">
        <w:t xml:space="preserve"> faculty currently make up a significant percentage of the total faculty in the College of Earth and Mineral Sciences</w:t>
      </w:r>
      <w:r w:rsidR="00B04978">
        <w:t xml:space="preserve"> (EMS).  The duties and responsibilities of </w:t>
      </w:r>
      <w:r>
        <w:t>NTL</w:t>
      </w:r>
      <w:r w:rsidR="00B04978">
        <w:t xml:space="preserve"> faculty members fall into four main categories: teaching, research, service, and administration</w:t>
      </w:r>
      <w:r w:rsidR="00517E27">
        <w:t xml:space="preserve">. </w:t>
      </w:r>
      <w:r w:rsidR="00B04978">
        <w:t xml:space="preserve"> </w:t>
      </w:r>
      <w:r w:rsidR="00054520">
        <w:t>Each</w:t>
      </w:r>
      <w:r w:rsidR="00B828A7">
        <w:t xml:space="preserve"> </w:t>
      </w:r>
      <w:r>
        <w:t>NTL</w:t>
      </w:r>
      <w:r w:rsidR="00B828A7">
        <w:t xml:space="preserve"> faculty member has their</w:t>
      </w:r>
      <w:r w:rsidR="00054520">
        <w:t xml:space="preserve"> own unique duties and responsibilities that are tied to funding sources.  </w:t>
      </w:r>
      <w:r w:rsidR="005A0E3C">
        <w:t xml:space="preserve">Some </w:t>
      </w:r>
      <w:r>
        <w:t>NTL</w:t>
      </w:r>
      <w:r w:rsidR="005A0E3C">
        <w:t xml:space="preserve"> faculty focus on one specific responsibility area, while others</w:t>
      </w:r>
      <w:r w:rsidR="00835CBB">
        <w:t xml:space="preserve"> are involved in a mixture of responsibility areas, and these responsibilities may change over time.  </w:t>
      </w:r>
    </w:p>
    <w:p w14:paraId="58803C12" w14:textId="1B4784CE" w:rsidR="00517E27" w:rsidRDefault="00517E27" w:rsidP="000F081B">
      <w:pPr>
        <w:jc w:val="both"/>
      </w:pPr>
    </w:p>
    <w:p w14:paraId="43C1B245" w14:textId="5CF17CB2" w:rsidR="00C25F9B" w:rsidRPr="003E749F" w:rsidRDefault="009702DD" w:rsidP="000F081B">
      <w:pPr>
        <w:jc w:val="both"/>
      </w:pPr>
      <w:r>
        <w:t>Acknowledging</w:t>
      </w:r>
      <w:r w:rsidR="00C25F9B" w:rsidRPr="003E749F">
        <w:t xml:space="preserve"> the variety of </w:t>
      </w:r>
      <w:r w:rsidR="00985FD6">
        <w:t xml:space="preserve">responsibilities and </w:t>
      </w:r>
      <w:r w:rsidR="00C25F9B" w:rsidRPr="003E749F">
        <w:t>career paths that occur within</w:t>
      </w:r>
      <w:r w:rsidR="00EE1E65">
        <w:t xml:space="preserve"> the </w:t>
      </w:r>
      <w:r w:rsidR="001A0E82">
        <w:t>NTL</w:t>
      </w:r>
      <w:r w:rsidR="00EE1E65">
        <w:t xml:space="preserve"> faculty, </w:t>
      </w:r>
      <w:r w:rsidR="00985FD6">
        <w:t>this document summarizes</w:t>
      </w:r>
      <w:r w:rsidR="00EE1E65">
        <w:t xml:space="preserve"> </w:t>
      </w:r>
      <w:r w:rsidR="00985FD6">
        <w:t>the</w:t>
      </w:r>
      <w:r w:rsidR="00EE1E65">
        <w:t xml:space="preserve"> D</w:t>
      </w:r>
      <w:r w:rsidR="00876D3F" w:rsidRPr="003E749F">
        <w:t>epartme</w:t>
      </w:r>
      <w:r w:rsidR="006E0F94">
        <w:t>nt</w:t>
      </w:r>
      <w:r w:rsidR="00985FD6">
        <w:t>’s</w:t>
      </w:r>
      <w:r w:rsidR="006E0F94">
        <w:t xml:space="preserve"> </w:t>
      </w:r>
      <w:r w:rsidR="001A0E82">
        <w:t>NTL</w:t>
      </w:r>
      <w:r w:rsidR="006E0F94">
        <w:t xml:space="preserve"> policies</w:t>
      </w:r>
      <w:r w:rsidR="000E392D" w:rsidRPr="003E749F">
        <w:t xml:space="preserve">.  </w:t>
      </w:r>
      <w:r w:rsidR="00D9697D">
        <w:t xml:space="preserve">For more information, visit the </w:t>
      </w:r>
      <w:hyperlink r:id="rId11" w:history="1">
        <w:r w:rsidR="00D9697D" w:rsidRPr="00D9697D">
          <w:rPr>
            <w:rStyle w:val="Hyperlink"/>
          </w:rPr>
          <w:t xml:space="preserve">Department’s </w:t>
        </w:r>
        <w:r w:rsidR="001A0E82">
          <w:rPr>
            <w:rStyle w:val="Hyperlink"/>
          </w:rPr>
          <w:t>NTL</w:t>
        </w:r>
        <w:r w:rsidR="00D9697D" w:rsidRPr="00D9697D">
          <w:rPr>
            <w:rStyle w:val="Hyperlink"/>
          </w:rPr>
          <w:t xml:space="preserve"> faculty webpage</w:t>
        </w:r>
      </w:hyperlink>
      <w:r w:rsidR="00D9697D">
        <w:t>.</w:t>
      </w:r>
    </w:p>
    <w:p w14:paraId="691AB4A7" w14:textId="62FC1F67" w:rsidR="00985FD6" w:rsidRDefault="00985FD6" w:rsidP="000F081B">
      <w:pPr>
        <w:jc w:val="both"/>
      </w:pPr>
    </w:p>
    <w:p w14:paraId="5EC82F1D" w14:textId="369C2D58" w:rsidR="00817D85" w:rsidRPr="003E749F" w:rsidRDefault="00817D85" w:rsidP="000F081B">
      <w:pPr>
        <w:jc w:val="both"/>
        <w:rPr>
          <w:b/>
        </w:rPr>
      </w:pPr>
      <w:r>
        <w:rPr>
          <w:b/>
        </w:rPr>
        <w:t>Participation in Department Activities</w:t>
      </w:r>
    </w:p>
    <w:p w14:paraId="79DCA6C0" w14:textId="022CA3B7" w:rsidR="006A699A" w:rsidRDefault="00D92835" w:rsidP="000F081B">
      <w:pPr>
        <w:jc w:val="both"/>
      </w:pPr>
      <w:r>
        <w:t xml:space="preserve">Many regular department academic activities and social events, categorized below, are open to </w:t>
      </w:r>
      <w:r w:rsidR="001A0E82">
        <w:t>NTL</w:t>
      </w:r>
      <w:r>
        <w:t xml:space="preserve"> faculty. </w:t>
      </w:r>
      <w:r w:rsidR="00405D54">
        <w:t xml:space="preserve"> </w:t>
      </w:r>
      <w:r>
        <w:t>Through regular participation</w:t>
      </w:r>
      <w:r w:rsidR="00730708">
        <w:t xml:space="preserve"> in</w:t>
      </w:r>
      <w:r>
        <w:t xml:space="preserve"> these activities and events, </w:t>
      </w:r>
      <w:r w:rsidR="001A0E82">
        <w:t>NTL</w:t>
      </w:r>
      <w:r>
        <w:t xml:space="preserve"> faculty contribute to the department, and they also have the opportunity to meet members of the department, including tenure-line faculty, staff, </w:t>
      </w:r>
      <w:r w:rsidR="00B5032A">
        <w:t xml:space="preserve">graduate </w:t>
      </w:r>
      <w:r w:rsidR="00164EDD">
        <w:t xml:space="preserve">students, </w:t>
      </w:r>
      <w:r>
        <w:t xml:space="preserve">and other </w:t>
      </w:r>
      <w:r w:rsidR="001A0E82">
        <w:t>NTL</w:t>
      </w:r>
      <w:r>
        <w:t xml:space="preserve"> faculty</w:t>
      </w:r>
      <w:r w:rsidR="00405D54">
        <w:t>.</w:t>
      </w:r>
    </w:p>
    <w:p w14:paraId="5A22DB39" w14:textId="77777777" w:rsidR="006A699A" w:rsidRDefault="006A699A" w:rsidP="000F081B">
      <w:pPr>
        <w:jc w:val="both"/>
      </w:pPr>
    </w:p>
    <w:p w14:paraId="33C534EC" w14:textId="0A4C2982" w:rsidR="006A699A" w:rsidRPr="006A699A" w:rsidRDefault="006A699A" w:rsidP="000F081B">
      <w:pPr>
        <w:ind w:left="360"/>
        <w:jc w:val="both"/>
        <w:rPr>
          <w:b/>
          <w:i/>
        </w:rPr>
      </w:pPr>
      <w:r w:rsidRPr="006A699A">
        <w:rPr>
          <w:b/>
          <w:i/>
        </w:rPr>
        <w:t>Department Colloquia</w:t>
      </w:r>
    </w:p>
    <w:p w14:paraId="2DE61CB0" w14:textId="486EED03" w:rsidR="006A699A" w:rsidRDefault="001A0E82" w:rsidP="000F081B">
      <w:pPr>
        <w:ind w:left="360"/>
        <w:jc w:val="both"/>
      </w:pPr>
      <w:r>
        <w:t>NTL</w:t>
      </w:r>
      <w:r w:rsidR="006A699A">
        <w:t xml:space="preserve"> faculty are </w:t>
      </w:r>
      <w:r w:rsidR="00B5032A">
        <w:t xml:space="preserve">strongly </w:t>
      </w:r>
      <w:r w:rsidR="007932C6">
        <w:t>encouraged</w:t>
      </w:r>
      <w:r w:rsidR="006A699A">
        <w:t xml:space="preserve"> to attend </w:t>
      </w:r>
      <w:r w:rsidR="00817D85">
        <w:t xml:space="preserve">the </w:t>
      </w:r>
      <w:r w:rsidR="00817D85" w:rsidRPr="003E749F">
        <w:t xml:space="preserve">weekly </w:t>
      </w:r>
      <w:r w:rsidR="006A699A">
        <w:t>department colloquia</w:t>
      </w:r>
      <w:r w:rsidR="00585F68">
        <w:t xml:space="preserve"> </w:t>
      </w:r>
      <w:r w:rsidR="005C180C">
        <w:t>during the academic year</w:t>
      </w:r>
      <w:r w:rsidR="00ED4DFF">
        <w:t>, and they may sign up for slots to meet with colloquium speakers</w:t>
      </w:r>
      <w:r w:rsidR="005C180C">
        <w:t xml:space="preserve">.  </w:t>
      </w:r>
      <w:r>
        <w:t>NTL</w:t>
      </w:r>
      <w:r w:rsidR="00FB1A2F">
        <w:t xml:space="preserve"> faculty are welcome to s</w:t>
      </w:r>
      <w:r w:rsidR="006A699A">
        <w:t xml:space="preserve">uggest colloquium speakers.  </w:t>
      </w:r>
    </w:p>
    <w:p w14:paraId="0C440445" w14:textId="5640A4B8" w:rsidR="00DA7723" w:rsidRDefault="00DA7723" w:rsidP="000F081B">
      <w:pPr>
        <w:jc w:val="both"/>
      </w:pPr>
    </w:p>
    <w:p w14:paraId="28647F71" w14:textId="77777777" w:rsidR="00DA7723" w:rsidRPr="006A699A" w:rsidRDefault="00DA7723" w:rsidP="000F081B">
      <w:pPr>
        <w:ind w:left="360"/>
        <w:jc w:val="both"/>
        <w:rPr>
          <w:b/>
          <w:i/>
        </w:rPr>
      </w:pPr>
      <w:r w:rsidRPr="006A699A">
        <w:rPr>
          <w:b/>
          <w:i/>
        </w:rPr>
        <w:t>Social Events</w:t>
      </w:r>
    </w:p>
    <w:p w14:paraId="38E05D41" w14:textId="7F70DC40" w:rsidR="00DA7723" w:rsidRDefault="001A0E82" w:rsidP="000F081B">
      <w:pPr>
        <w:ind w:left="360"/>
        <w:jc w:val="both"/>
      </w:pPr>
      <w:r>
        <w:t>NTL</w:t>
      </w:r>
      <w:r w:rsidR="00DA7723">
        <w:t xml:space="preserve"> faculty and their families are welcome to attend department </w:t>
      </w:r>
      <w:r w:rsidR="00DA7723" w:rsidRPr="003E749F">
        <w:t>picnics, banquet</w:t>
      </w:r>
      <w:r w:rsidR="00DA7723">
        <w:t xml:space="preserve">s, and other social events.  </w:t>
      </w:r>
    </w:p>
    <w:p w14:paraId="3238F669" w14:textId="57C133C9" w:rsidR="0065150F" w:rsidRDefault="0065150F" w:rsidP="000F081B">
      <w:pPr>
        <w:ind w:left="360"/>
        <w:jc w:val="both"/>
      </w:pPr>
    </w:p>
    <w:p w14:paraId="7785515B" w14:textId="77777777" w:rsidR="0065150F" w:rsidRPr="00DA5034" w:rsidRDefault="0065150F" w:rsidP="000F081B">
      <w:pPr>
        <w:ind w:left="360"/>
        <w:jc w:val="both"/>
        <w:rPr>
          <w:b/>
          <w:i/>
        </w:rPr>
      </w:pPr>
      <w:r w:rsidRPr="00DA5034">
        <w:rPr>
          <w:b/>
          <w:i/>
        </w:rPr>
        <w:t>Faculty Meetings</w:t>
      </w:r>
    </w:p>
    <w:p w14:paraId="1B666ADD" w14:textId="3D7F372B" w:rsidR="00164EDD" w:rsidRDefault="001A0E82" w:rsidP="000F081B">
      <w:pPr>
        <w:ind w:left="360"/>
        <w:jc w:val="both"/>
      </w:pPr>
      <w:r>
        <w:t>NTL</w:t>
      </w:r>
      <w:r w:rsidR="0065150F" w:rsidRPr="003E749F">
        <w:t xml:space="preserve"> faculty </w:t>
      </w:r>
      <w:r w:rsidR="009E49EC">
        <w:t>are invited to</w:t>
      </w:r>
      <w:r w:rsidR="0065150F" w:rsidRPr="003E749F">
        <w:t xml:space="preserve"> participate in regular faculty meetings when they attain </w:t>
      </w:r>
      <w:r w:rsidR="0065150F">
        <w:t xml:space="preserve">an intermediate or senior rank, i.e., </w:t>
      </w:r>
      <w:r w:rsidR="009E49EC">
        <w:t xml:space="preserve">Associate Research/Teaching Professor, Research/Teaching Professor, Professor of Practice.  </w:t>
      </w:r>
      <w:r w:rsidR="00D92835">
        <w:t>A</w:t>
      </w:r>
      <w:r w:rsidR="009E49EC">
        <w:t xml:space="preserve">dditional </w:t>
      </w:r>
      <w:r>
        <w:t>NTL</w:t>
      </w:r>
      <w:r w:rsidR="009E49EC">
        <w:t xml:space="preserve"> faculty</w:t>
      </w:r>
      <w:r w:rsidR="00D92835">
        <w:t xml:space="preserve"> members</w:t>
      </w:r>
      <w:r w:rsidR="009E49EC">
        <w:t>,</w:t>
      </w:r>
      <w:r w:rsidR="00725F5E">
        <w:t xml:space="preserve"> such as the Chair of the </w:t>
      </w:r>
      <w:r>
        <w:t>NTL</w:t>
      </w:r>
      <w:r w:rsidR="00725F5E">
        <w:t xml:space="preserve"> F</w:t>
      </w:r>
      <w:r w:rsidR="009E49EC">
        <w:t>aculty Advisory Committee</w:t>
      </w:r>
      <w:r w:rsidR="00D92835">
        <w:t>, may attend faculty meetings at the discretion of the Department Head</w:t>
      </w:r>
      <w:r w:rsidR="009E49EC">
        <w:t xml:space="preserve">.  </w:t>
      </w:r>
      <w:r w:rsidR="0065150F">
        <w:t xml:space="preserve">In addition, members of the </w:t>
      </w:r>
      <w:hyperlink r:id="rId12" w:history="1">
        <w:r w:rsidR="0065150F" w:rsidRPr="003E31D9">
          <w:rPr>
            <w:rStyle w:val="Hyperlink"/>
          </w:rPr>
          <w:t>Graduate Faculty</w:t>
        </w:r>
      </w:hyperlink>
      <w:r w:rsidR="0065150F">
        <w:t xml:space="preserve"> may attend faculty meetings</w:t>
      </w:r>
      <w:r w:rsidR="00274902">
        <w:t>, regardless of their rank.</w:t>
      </w:r>
      <w:r w:rsidR="009E49EC">
        <w:t xml:space="preserve"> </w:t>
      </w:r>
      <w:r w:rsidR="0065150F">
        <w:t xml:space="preserve"> </w:t>
      </w:r>
    </w:p>
    <w:p w14:paraId="7CA2DB77" w14:textId="77777777" w:rsidR="00164EDD" w:rsidRDefault="00164EDD" w:rsidP="000F081B">
      <w:pPr>
        <w:ind w:left="360"/>
        <w:jc w:val="both"/>
      </w:pPr>
    </w:p>
    <w:p w14:paraId="65C5B4E5" w14:textId="7624DCE1" w:rsidR="009E49EC" w:rsidRPr="00F27A20" w:rsidRDefault="001A0E82" w:rsidP="000F081B">
      <w:pPr>
        <w:ind w:left="360"/>
        <w:jc w:val="both"/>
      </w:pPr>
      <w:r>
        <w:t>NTL</w:t>
      </w:r>
      <w:r w:rsidR="009E49EC" w:rsidRPr="003E749F">
        <w:t xml:space="preserve"> faculty </w:t>
      </w:r>
      <w:r w:rsidR="009E49EC">
        <w:t xml:space="preserve">who are eligible to attend faculty meetings may </w:t>
      </w:r>
      <w:r w:rsidR="009E49EC" w:rsidRPr="009E49EC">
        <w:t>vote on all</w:t>
      </w:r>
      <w:r w:rsidR="00605339">
        <w:t xml:space="preserve"> department</w:t>
      </w:r>
      <w:r w:rsidR="009E49EC" w:rsidRPr="009E49EC">
        <w:t xml:space="preserve"> issues except for hiring decision</w:t>
      </w:r>
      <w:r w:rsidR="009E49EC">
        <w:t>s for tenure-</w:t>
      </w:r>
      <w:r w:rsidR="00334732">
        <w:t>line faculty</w:t>
      </w:r>
      <w:r w:rsidR="00DA333F">
        <w:t xml:space="preserve"> (except as noted below)</w:t>
      </w:r>
      <w:r w:rsidR="00E313D8">
        <w:t xml:space="preserve">.  </w:t>
      </w:r>
      <w:r w:rsidR="00164EDD">
        <w:t>After consultation with the tenure-line faculty, the Department Head may invite a few s</w:t>
      </w:r>
      <w:r w:rsidR="00E313D8">
        <w:t xml:space="preserve">enior </w:t>
      </w:r>
      <w:r>
        <w:t>NTL</w:t>
      </w:r>
      <w:r w:rsidR="00E313D8">
        <w:t xml:space="preserve"> faculty to vote </w:t>
      </w:r>
      <w:r w:rsidR="00E313D8">
        <w:lastRenderedPageBreak/>
        <w:t xml:space="preserve">on hiring decisions for tenure-line faculty. </w:t>
      </w:r>
      <w:r w:rsidR="000243C8">
        <w:t xml:space="preserve"> </w:t>
      </w:r>
      <w:r w:rsidR="00334732">
        <w:t>O</w:t>
      </w:r>
      <w:r w:rsidR="009E49EC">
        <w:t>nly members of the Graduate F</w:t>
      </w:r>
      <w:r w:rsidR="009E49EC" w:rsidRPr="009E49EC">
        <w:t xml:space="preserve">aculty </w:t>
      </w:r>
      <w:r w:rsidR="009E49EC">
        <w:t>may</w:t>
      </w:r>
      <w:r w:rsidR="009E49EC" w:rsidRPr="009E49EC">
        <w:t xml:space="preserve"> </w:t>
      </w:r>
      <w:r w:rsidR="009E49EC">
        <w:t xml:space="preserve">vote on graduate </w:t>
      </w:r>
      <w:r w:rsidR="009E49EC" w:rsidRPr="009E49EC">
        <w:t xml:space="preserve">program related </w:t>
      </w:r>
      <w:r w:rsidR="009E49EC">
        <w:t>issues</w:t>
      </w:r>
      <w:r w:rsidR="009E49EC" w:rsidRPr="009E49EC">
        <w:t xml:space="preserve">. </w:t>
      </w:r>
    </w:p>
    <w:p w14:paraId="37F28470" w14:textId="47BC4034" w:rsidR="00405D54" w:rsidRDefault="00405D54" w:rsidP="000F081B">
      <w:pPr>
        <w:jc w:val="both"/>
      </w:pPr>
    </w:p>
    <w:p w14:paraId="3485C498" w14:textId="2CA1C48A" w:rsidR="00ED4DFF" w:rsidRPr="00274902" w:rsidRDefault="00ED4DFF" w:rsidP="000F081B">
      <w:pPr>
        <w:ind w:left="360"/>
        <w:jc w:val="both"/>
        <w:rPr>
          <w:b/>
          <w:i/>
        </w:rPr>
      </w:pPr>
      <w:r w:rsidRPr="00274902">
        <w:rPr>
          <w:b/>
          <w:i/>
        </w:rPr>
        <w:t>Faculty Position Searches</w:t>
      </w:r>
    </w:p>
    <w:p w14:paraId="79AAEF5D" w14:textId="21473AED" w:rsidR="000A507E" w:rsidRDefault="001A0E82" w:rsidP="000F081B">
      <w:pPr>
        <w:ind w:left="360"/>
        <w:jc w:val="both"/>
      </w:pPr>
      <w:r>
        <w:t>NTL</w:t>
      </w:r>
      <w:r w:rsidR="00DA7723">
        <w:t xml:space="preserve"> faculty</w:t>
      </w:r>
      <w:r w:rsidR="00164EDD">
        <w:t xml:space="preserve"> will be asked to</w:t>
      </w:r>
      <w:r w:rsidR="00DA7723">
        <w:t xml:space="preserve"> </w:t>
      </w:r>
      <w:r w:rsidR="00ED4DFF">
        <w:t xml:space="preserve">provide input to Department search committees </w:t>
      </w:r>
      <w:r w:rsidR="00DA7723">
        <w:t>regarding</w:t>
      </w:r>
      <w:r w:rsidR="00ED4DFF">
        <w:t xml:space="preserve"> tenure-line job candidates</w:t>
      </w:r>
      <w:r w:rsidR="00730219">
        <w:t xml:space="preserve"> and may be invited to serve on search committees</w:t>
      </w:r>
      <w:r w:rsidR="00ED4DFF">
        <w:t xml:space="preserve">.  </w:t>
      </w:r>
      <w:r>
        <w:t>NTL</w:t>
      </w:r>
      <w:r w:rsidR="00ED4DFF">
        <w:t xml:space="preserve"> faculty </w:t>
      </w:r>
      <w:r w:rsidR="00E313D8">
        <w:t xml:space="preserve">are eligible to meet </w:t>
      </w:r>
      <w:r w:rsidR="00274902">
        <w:t>with job candidates, and they are invited to the seminar that candidate</w:t>
      </w:r>
      <w:r w:rsidR="00DA7723">
        <w:t xml:space="preserve">s give for the Department.  </w:t>
      </w:r>
      <w:r>
        <w:t>NTL</w:t>
      </w:r>
      <w:r w:rsidR="00DA7723">
        <w:t xml:space="preserve"> faculty feedback will be summarized by the Chair of the </w:t>
      </w:r>
      <w:r>
        <w:t>NTL</w:t>
      </w:r>
      <w:r w:rsidR="00F86545">
        <w:t xml:space="preserve"> F</w:t>
      </w:r>
      <w:r w:rsidR="00DA7723">
        <w:t xml:space="preserve">aculty Advisory Committee and then </w:t>
      </w:r>
      <w:r w:rsidR="00E22FC8">
        <w:t xml:space="preserve">either </w:t>
      </w:r>
      <w:r w:rsidR="00DA7723">
        <w:t>communicated to the Chair of the rele</w:t>
      </w:r>
      <w:r w:rsidR="00E22FC8">
        <w:t xml:space="preserve">vant faculty search committee or presented to the faculty directly.  </w:t>
      </w:r>
    </w:p>
    <w:p w14:paraId="19CA11C9" w14:textId="5B924AF4" w:rsidR="005304E2" w:rsidRDefault="005304E2" w:rsidP="000F081B">
      <w:pPr>
        <w:jc w:val="both"/>
      </w:pPr>
    </w:p>
    <w:p w14:paraId="781916DF" w14:textId="77777777" w:rsidR="005304E2" w:rsidRDefault="005304E2" w:rsidP="000F081B">
      <w:pPr>
        <w:jc w:val="both"/>
      </w:pPr>
    </w:p>
    <w:p w14:paraId="758F5475" w14:textId="211957DE" w:rsidR="005304E2" w:rsidRPr="003E749F" w:rsidRDefault="001A0E82" w:rsidP="000F081B">
      <w:pPr>
        <w:jc w:val="both"/>
        <w:rPr>
          <w:b/>
        </w:rPr>
      </w:pPr>
      <w:r>
        <w:rPr>
          <w:b/>
        </w:rPr>
        <w:t>NTL</w:t>
      </w:r>
      <w:r w:rsidR="005304E2" w:rsidRPr="003E749F">
        <w:rPr>
          <w:b/>
        </w:rPr>
        <w:t xml:space="preserve"> </w:t>
      </w:r>
      <w:r w:rsidR="005304E2">
        <w:rPr>
          <w:b/>
        </w:rPr>
        <w:t xml:space="preserve">Faculty </w:t>
      </w:r>
      <w:r w:rsidR="005304E2" w:rsidRPr="003E749F">
        <w:rPr>
          <w:b/>
        </w:rPr>
        <w:t>Advisory Committee</w:t>
      </w:r>
    </w:p>
    <w:p w14:paraId="16A7F8A1" w14:textId="5455B7A4" w:rsidR="005304E2" w:rsidRDefault="005304E2" w:rsidP="000F081B">
      <w:pPr>
        <w:jc w:val="both"/>
      </w:pPr>
      <w:r>
        <w:t xml:space="preserve">The </w:t>
      </w:r>
      <w:r w:rsidR="001A0E82">
        <w:t>NTL</w:t>
      </w:r>
      <w:r w:rsidRPr="005440CB">
        <w:t xml:space="preserve"> </w:t>
      </w:r>
      <w:r>
        <w:t xml:space="preserve">Faculty </w:t>
      </w:r>
      <w:r w:rsidRPr="005440CB">
        <w:t>Advisory Committee</w:t>
      </w:r>
      <w:r>
        <w:rPr>
          <w:b/>
        </w:rPr>
        <w:t xml:space="preserve"> </w:t>
      </w:r>
      <w:r w:rsidRPr="005440CB">
        <w:t>serves as a</w:t>
      </w:r>
      <w:r>
        <w:t xml:space="preserve"> conduit of information between Department and EMS College administration and members of the</w:t>
      </w:r>
      <w:r w:rsidR="001374EA">
        <w:t xml:space="preserve"> Department’s</w:t>
      </w:r>
      <w:r>
        <w:t xml:space="preserve"> </w:t>
      </w:r>
      <w:r w:rsidR="001A0E82">
        <w:t>NTL</w:t>
      </w:r>
      <w:r>
        <w:t xml:space="preserve"> faculty.  The Committee </w:t>
      </w:r>
      <w:r w:rsidR="001374EA">
        <w:t>represents the needs and concerns of</w:t>
      </w:r>
      <w:r w:rsidRPr="005440CB">
        <w:t xml:space="preserve"> the </w:t>
      </w:r>
      <w:r w:rsidR="001A0E82">
        <w:t>NTL</w:t>
      </w:r>
      <w:r w:rsidRPr="005440CB">
        <w:t xml:space="preserve"> faculty</w:t>
      </w:r>
      <w:r>
        <w:t xml:space="preserve"> and also</w:t>
      </w:r>
      <w:r w:rsidRPr="005440CB">
        <w:t xml:space="preserve"> disseminate</w:t>
      </w:r>
      <w:r>
        <w:t>s</w:t>
      </w:r>
      <w:r w:rsidRPr="005440CB">
        <w:t xml:space="preserve"> information pertaining to policies and issues of </w:t>
      </w:r>
      <w:r w:rsidR="001A0E82">
        <w:t>NTL</w:t>
      </w:r>
      <w:r>
        <w:t xml:space="preserve"> faculty</w:t>
      </w:r>
      <w:r w:rsidRPr="005440CB">
        <w:t xml:space="preserve"> appointments</w:t>
      </w:r>
      <w:r>
        <w:t xml:space="preserve">.  </w:t>
      </w:r>
    </w:p>
    <w:p w14:paraId="44F9F029" w14:textId="77777777" w:rsidR="005304E2" w:rsidRDefault="005304E2" w:rsidP="000F081B">
      <w:pPr>
        <w:jc w:val="both"/>
      </w:pPr>
    </w:p>
    <w:p w14:paraId="437F2D29" w14:textId="6F2EDCB1" w:rsidR="005304E2" w:rsidRDefault="005304E2" w:rsidP="000F081B">
      <w:pPr>
        <w:jc w:val="both"/>
      </w:pPr>
      <w:r>
        <w:t xml:space="preserve">The </w:t>
      </w:r>
      <w:r w:rsidR="001A0E82">
        <w:t>NTL</w:t>
      </w:r>
      <w:r w:rsidRPr="005440CB">
        <w:t xml:space="preserve"> </w:t>
      </w:r>
      <w:r>
        <w:t xml:space="preserve">Faculty </w:t>
      </w:r>
      <w:r w:rsidRPr="005440CB">
        <w:t>Advisory Committee</w:t>
      </w:r>
      <w:r>
        <w:rPr>
          <w:b/>
        </w:rPr>
        <w:t xml:space="preserve"> </w:t>
      </w:r>
      <w:r w:rsidRPr="00FA5B53">
        <w:t>meets</w:t>
      </w:r>
      <w:r>
        <w:t xml:space="preserve"> monthly during the academic year.  The Committee has five members, one of which is the Department’s representative on the College of EMS </w:t>
      </w:r>
      <w:r w:rsidR="001A0E82">
        <w:t>NTL</w:t>
      </w:r>
      <w:r>
        <w:t xml:space="preserve"> Faculty Advisory Committee.  Committee members are elected from the </w:t>
      </w:r>
      <w:r w:rsidR="001A0E82">
        <w:t>NTL</w:t>
      </w:r>
      <w:r>
        <w:t xml:space="preserve"> faculty in the Department.  Members serve for 3-year terms.  After two consecutive terms, a member must step down for at least one year.  The College representative is elected to a 3-year term in a separate election and is bound by any term limits imposed by the College committee.  For more information about the Department’s </w:t>
      </w:r>
      <w:r w:rsidR="001A0E82">
        <w:t>NTL</w:t>
      </w:r>
      <w:r w:rsidRPr="005440CB">
        <w:t xml:space="preserve"> </w:t>
      </w:r>
      <w:r>
        <w:t xml:space="preserve">Faculty </w:t>
      </w:r>
      <w:r w:rsidRPr="005440CB">
        <w:t>Advisory Committee</w:t>
      </w:r>
      <w:r>
        <w:t xml:space="preserve">, consult the </w:t>
      </w:r>
      <w:hyperlink r:id="rId13" w:history="1">
        <w:r w:rsidRPr="00B9322B">
          <w:rPr>
            <w:rStyle w:val="Hyperlink"/>
            <w:b/>
          </w:rPr>
          <w:t>by-laws</w:t>
        </w:r>
      </w:hyperlink>
      <w:r w:rsidR="00211D07">
        <w:t>.</w:t>
      </w:r>
    </w:p>
    <w:p w14:paraId="00F456B0" w14:textId="77777777" w:rsidR="005304E2" w:rsidRDefault="005304E2" w:rsidP="000F081B">
      <w:pPr>
        <w:jc w:val="both"/>
      </w:pPr>
    </w:p>
    <w:p w14:paraId="38AE5AC8" w14:textId="5A917EE8" w:rsidR="005304E2" w:rsidRPr="00FA5B53" w:rsidRDefault="005304E2" w:rsidP="000F081B">
      <w:pPr>
        <w:ind w:left="360"/>
        <w:jc w:val="both"/>
        <w:rPr>
          <w:b/>
          <w:i/>
        </w:rPr>
      </w:pPr>
      <w:r w:rsidRPr="00FA5B53">
        <w:rPr>
          <w:b/>
          <w:i/>
        </w:rPr>
        <w:t xml:space="preserve">Annual </w:t>
      </w:r>
      <w:r w:rsidR="001A0E82">
        <w:rPr>
          <w:b/>
          <w:i/>
        </w:rPr>
        <w:t>NTL</w:t>
      </w:r>
      <w:r w:rsidRPr="00FA5B53">
        <w:rPr>
          <w:b/>
          <w:i/>
        </w:rPr>
        <w:t xml:space="preserve"> All Hands Meeting</w:t>
      </w:r>
    </w:p>
    <w:p w14:paraId="13DD7105" w14:textId="6DD79193" w:rsidR="005304E2" w:rsidRDefault="005304E2" w:rsidP="000F081B">
      <w:pPr>
        <w:ind w:left="360"/>
        <w:jc w:val="both"/>
      </w:pPr>
      <w:r>
        <w:t xml:space="preserve">The </w:t>
      </w:r>
      <w:r w:rsidR="001A0E82">
        <w:t>NTL</w:t>
      </w:r>
      <w:r w:rsidRPr="005440CB">
        <w:t xml:space="preserve"> </w:t>
      </w:r>
      <w:r>
        <w:t xml:space="preserve">Faculty </w:t>
      </w:r>
      <w:r w:rsidRPr="005440CB">
        <w:t>Advisory Committee</w:t>
      </w:r>
      <w:r>
        <w:t xml:space="preserve"> organizes an annual All Hands meeting every Fall for all </w:t>
      </w:r>
      <w:r w:rsidR="001A0E82">
        <w:t>NTL</w:t>
      </w:r>
      <w:r>
        <w:t xml:space="preserve"> faculty.  The meeting includes presentations on current topics of interest for the </w:t>
      </w:r>
      <w:r w:rsidR="001A0E82">
        <w:t>NTL</w:t>
      </w:r>
      <w:r>
        <w:t xml:space="preserve"> faculty, as well as time for discussion of important issues.  </w:t>
      </w:r>
    </w:p>
    <w:p w14:paraId="79C4EDCA" w14:textId="500C4CCD" w:rsidR="005304E2" w:rsidRDefault="005304E2" w:rsidP="000F081B">
      <w:pPr>
        <w:jc w:val="both"/>
      </w:pPr>
    </w:p>
    <w:p w14:paraId="02EB44F2" w14:textId="77777777" w:rsidR="00405D54" w:rsidRDefault="00405D54" w:rsidP="000F081B">
      <w:pPr>
        <w:jc w:val="both"/>
      </w:pPr>
    </w:p>
    <w:p w14:paraId="2506D3C7" w14:textId="77777777" w:rsidR="00405D54" w:rsidRPr="003E749F" w:rsidRDefault="00405D54" w:rsidP="000F081B">
      <w:pPr>
        <w:jc w:val="both"/>
        <w:rPr>
          <w:b/>
        </w:rPr>
      </w:pPr>
      <w:r w:rsidRPr="003E749F">
        <w:rPr>
          <w:b/>
        </w:rPr>
        <w:t>Organization</w:t>
      </w:r>
    </w:p>
    <w:p w14:paraId="11F74B1E" w14:textId="1CDA51CA" w:rsidR="00405D54" w:rsidRDefault="001A0E82" w:rsidP="000F081B">
      <w:pPr>
        <w:jc w:val="both"/>
      </w:pPr>
      <w:r>
        <w:t>NTL</w:t>
      </w:r>
      <w:r w:rsidR="00405D54" w:rsidRPr="003E749F">
        <w:t xml:space="preserve"> faculty</w:t>
      </w:r>
      <w:r w:rsidR="00405D54">
        <w:t xml:space="preserve"> members </w:t>
      </w:r>
      <w:r w:rsidR="00164EDD">
        <w:t xml:space="preserve">generally </w:t>
      </w:r>
      <w:r w:rsidR="00405D54">
        <w:t>are listed on the D</w:t>
      </w:r>
      <w:r w:rsidR="00405D54" w:rsidRPr="003E749F">
        <w:t xml:space="preserve">epartment web site </w:t>
      </w:r>
      <w:r w:rsidR="00405D54">
        <w:t>and on the D</w:t>
      </w:r>
      <w:r w:rsidR="00405D54" w:rsidRPr="003E749F">
        <w:t xml:space="preserve">epartment bulletin board under the </w:t>
      </w:r>
      <w:r w:rsidR="00405D54" w:rsidRPr="003E749F">
        <w:rPr>
          <w:i/>
        </w:rPr>
        <w:t>Research and Teaching Faculty and Staff</w:t>
      </w:r>
      <w:r w:rsidR="00405D54">
        <w:t xml:space="preserve"> category. </w:t>
      </w:r>
      <w:r w:rsidR="00164EDD">
        <w:t xml:space="preserve"> Those </w:t>
      </w:r>
      <w:r>
        <w:t>NTL</w:t>
      </w:r>
      <w:r w:rsidR="00164EDD">
        <w:t xml:space="preserve"> faculty who have a professorial title </w:t>
      </w:r>
      <w:r w:rsidR="00277E5B">
        <w:t xml:space="preserve">(Assistant Research/Teaching Professor or above) </w:t>
      </w:r>
      <w:r w:rsidR="00164EDD">
        <w:t xml:space="preserve">and are regularly involved in teaching activities </w:t>
      </w:r>
      <w:r w:rsidR="00603583">
        <w:t>and/</w:t>
      </w:r>
      <w:r w:rsidR="00164EDD">
        <w:t>or the supervision of graduate students</w:t>
      </w:r>
      <w:r w:rsidR="00B5032A">
        <w:t xml:space="preserve"> may be listed under</w:t>
      </w:r>
      <w:r w:rsidR="00164EDD">
        <w:t xml:space="preserve"> the </w:t>
      </w:r>
      <w:r w:rsidR="00164EDD" w:rsidRPr="00AD1710">
        <w:rPr>
          <w:i/>
        </w:rPr>
        <w:t xml:space="preserve">Faculty </w:t>
      </w:r>
      <w:r w:rsidR="00164EDD">
        <w:t xml:space="preserve">category at the discretion of the Department Head.  </w:t>
      </w:r>
    </w:p>
    <w:p w14:paraId="3A3EFA23" w14:textId="77777777" w:rsidR="005304E2" w:rsidRDefault="005304E2" w:rsidP="000F081B">
      <w:pPr>
        <w:jc w:val="both"/>
      </w:pPr>
    </w:p>
    <w:p w14:paraId="2E4D227E" w14:textId="77777777" w:rsidR="0065150F" w:rsidRPr="003E749F" w:rsidRDefault="0065150F" w:rsidP="000F081B">
      <w:pPr>
        <w:jc w:val="both"/>
        <w:rPr>
          <w:b/>
        </w:rPr>
      </w:pPr>
      <w:r w:rsidRPr="003E749F">
        <w:rPr>
          <w:b/>
        </w:rPr>
        <w:t>Graduate Faculty Membership</w:t>
      </w:r>
    </w:p>
    <w:p w14:paraId="4CF78A46" w14:textId="3E9F2CFD" w:rsidR="000A507E" w:rsidRDefault="00B05862" w:rsidP="000F081B">
      <w:pPr>
        <w:widowControl w:val="0"/>
        <w:autoSpaceDE w:val="0"/>
        <w:autoSpaceDN w:val="0"/>
        <w:adjustRightInd w:val="0"/>
        <w:jc w:val="both"/>
      </w:pPr>
      <w:r>
        <w:t xml:space="preserve">The </w:t>
      </w:r>
      <w:hyperlink r:id="rId14" w:history="1">
        <w:r w:rsidRPr="00C22985">
          <w:rPr>
            <w:rStyle w:val="Hyperlink"/>
          </w:rPr>
          <w:t>Graduate Faculty</w:t>
        </w:r>
      </w:hyperlink>
      <w:r>
        <w:t xml:space="preserve"> at Penn State is intended for individuals who participate broadly in the training of graduate students (e.g., supervising research</w:t>
      </w:r>
      <w:r w:rsidR="00344082">
        <w:t>, serving on M.S./Ph.D. committees</w:t>
      </w:r>
      <w:r w:rsidR="00C81EF2">
        <w:t>, teaching graduate-level classes</w:t>
      </w:r>
      <w:r>
        <w:t xml:space="preserve">) on an ongoing basis </w:t>
      </w:r>
      <w:r w:rsidR="00CD6003">
        <w:t xml:space="preserve">and who have an active program of research and scholarship appropriate to their field.  </w:t>
      </w:r>
      <w:r w:rsidR="001A0E82">
        <w:t>NTL</w:t>
      </w:r>
      <w:r w:rsidR="006B586E" w:rsidRPr="006B586E">
        <w:t xml:space="preserve"> faculty are generally expected to be actively </w:t>
      </w:r>
      <w:r w:rsidR="006B586E" w:rsidRPr="006B586E">
        <w:lastRenderedPageBreak/>
        <w:t xml:space="preserve">involved in graduate student </w:t>
      </w:r>
      <w:r w:rsidR="006B586E">
        <w:t>mentoring</w:t>
      </w:r>
      <w:r w:rsidR="006B586E" w:rsidRPr="006B586E">
        <w:t xml:space="preserve"> or teaching prior to requesting membership on the Graduate Faculty</w:t>
      </w:r>
      <w:r w:rsidR="00840A63">
        <w:t xml:space="preserve"> (e.g., informal mentoring of graduate students, serving on M.S./Ph.D. committees, teaching graduate courses)</w:t>
      </w:r>
      <w:r w:rsidR="006B586E" w:rsidRPr="006B586E">
        <w:t>.</w:t>
      </w:r>
      <w:r w:rsidR="006B586E">
        <w:t xml:space="preserve">  </w:t>
      </w:r>
      <w:r w:rsidR="001A0E82">
        <w:t>NTL</w:t>
      </w:r>
      <w:r w:rsidR="00CD6003">
        <w:t xml:space="preserve"> faculty who meet these requirements and plan to </w:t>
      </w:r>
      <w:r w:rsidR="00CD6003">
        <w:rPr>
          <w:rFonts w:cs="Times New Roman"/>
        </w:rPr>
        <w:t xml:space="preserve">make </w:t>
      </w:r>
      <w:r w:rsidR="00CD6003" w:rsidRPr="00344082">
        <w:rPr>
          <w:rFonts w:cs="Times New Roman"/>
          <w:b/>
        </w:rPr>
        <w:t>sustained</w:t>
      </w:r>
      <w:r w:rsidR="00CD6003">
        <w:rPr>
          <w:rFonts w:cs="Times New Roman"/>
        </w:rPr>
        <w:t xml:space="preserve"> </w:t>
      </w:r>
      <w:r w:rsidR="00CD6003" w:rsidRPr="003E749F">
        <w:rPr>
          <w:rFonts w:cs="Times New Roman"/>
        </w:rPr>
        <w:t>contribution</w:t>
      </w:r>
      <w:r w:rsidR="00CD6003">
        <w:rPr>
          <w:rFonts w:cs="Times New Roman"/>
        </w:rPr>
        <w:t>s</w:t>
      </w:r>
      <w:r w:rsidR="00CD6003" w:rsidRPr="003E749F">
        <w:rPr>
          <w:rFonts w:cs="Times New Roman"/>
        </w:rPr>
        <w:t xml:space="preserve"> to graduate education in </w:t>
      </w:r>
      <w:r w:rsidR="00CD6003">
        <w:rPr>
          <w:rFonts w:eastAsia="MS Mincho" w:cs="MS Mincho"/>
        </w:rPr>
        <w:t xml:space="preserve">the Department through </w:t>
      </w:r>
      <w:r w:rsidR="0065150F" w:rsidRPr="003E749F">
        <w:t xml:space="preserve">teaching courses and/or mentoring of graduate students are </w:t>
      </w:r>
      <w:r w:rsidR="00CD6003">
        <w:t>eligible</w:t>
      </w:r>
      <w:r w:rsidR="0065150F" w:rsidRPr="003E749F">
        <w:t xml:space="preserve"> </w:t>
      </w:r>
      <w:r w:rsidR="00CD6003">
        <w:t xml:space="preserve">for membership in the Graduate Faculty </w:t>
      </w:r>
      <w:r w:rsidR="008F2076">
        <w:t>through the following process</w:t>
      </w:r>
      <w:r w:rsidR="00344082">
        <w:t>.</w:t>
      </w:r>
      <w:r w:rsidR="00E22FC8">
        <w:t xml:space="preserve">    </w:t>
      </w:r>
    </w:p>
    <w:p w14:paraId="134AAC5D" w14:textId="36F99FE8" w:rsidR="008F2076" w:rsidRDefault="003276BA" w:rsidP="000F081B">
      <w:pPr>
        <w:pStyle w:val="ListParagraph"/>
        <w:numPr>
          <w:ilvl w:val="0"/>
          <w:numId w:val="1"/>
        </w:numPr>
        <w:jc w:val="both"/>
      </w:pPr>
      <w:r>
        <w:t>C</w:t>
      </w:r>
      <w:r w:rsidR="008F2076">
        <w:t xml:space="preserve">onfirm </w:t>
      </w:r>
      <w:r>
        <w:t>you</w:t>
      </w:r>
      <w:r w:rsidR="008F2076">
        <w:t xml:space="preserve"> meet the </w:t>
      </w:r>
      <w:hyperlink r:id="rId15" w:history="1">
        <w:r w:rsidR="008F2076" w:rsidRPr="00C22985">
          <w:rPr>
            <w:rStyle w:val="Hyperlink"/>
          </w:rPr>
          <w:t>University-level minimu</w:t>
        </w:r>
        <w:r w:rsidR="00C22985" w:rsidRPr="00C22985">
          <w:rPr>
            <w:rStyle w:val="Hyperlink"/>
          </w:rPr>
          <w:t>m qualifications</w:t>
        </w:r>
      </w:hyperlink>
      <w:r w:rsidR="00C22985">
        <w:t xml:space="preserve"> for </w:t>
      </w:r>
      <w:r w:rsidR="008F2076">
        <w:t>membership in the Graduate Faculty</w:t>
      </w:r>
      <w:r w:rsidR="007F56AA">
        <w:t xml:space="preserve"> under one of the available categories</w:t>
      </w:r>
      <w:r w:rsidR="000F081B">
        <w:t>.</w:t>
      </w:r>
      <w:r w:rsidR="008F2076">
        <w:t xml:space="preserve"> </w:t>
      </w:r>
    </w:p>
    <w:p w14:paraId="306F4CCD" w14:textId="583D482D" w:rsidR="008F2076" w:rsidRPr="003E749F" w:rsidRDefault="003276BA" w:rsidP="000F081B">
      <w:pPr>
        <w:pStyle w:val="ListParagraph"/>
        <w:numPr>
          <w:ilvl w:val="0"/>
          <w:numId w:val="1"/>
        </w:numPr>
        <w:jc w:val="both"/>
      </w:pPr>
      <w:r>
        <w:t>Forward n</w:t>
      </w:r>
      <w:r w:rsidR="008F2076" w:rsidRPr="003E749F">
        <w:t xml:space="preserve">ominations from two </w:t>
      </w:r>
      <w:r>
        <w:t>current</w:t>
      </w:r>
      <w:r w:rsidR="008F2076" w:rsidRPr="003E749F">
        <w:t xml:space="preserve"> members</w:t>
      </w:r>
      <w:r>
        <w:t xml:space="preserve"> of the Graduate Faculty in the Department</w:t>
      </w:r>
      <w:r w:rsidR="008F2076" w:rsidRPr="003E749F">
        <w:t xml:space="preserve">, </w:t>
      </w:r>
      <w:r>
        <w:t>including at least one tenure-line faculty member, to the Department Head.</w:t>
      </w:r>
    </w:p>
    <w:p w14:paraId="38E2173C" w14:textId="3997BA8F" w:rsidR="008F2076" w:rsidRPr="003E749F" w:rsidRDefault="003276BA" w:rsidP="000F081B">
      <w:pPr>
        <w:pStyle w:val="ListParagraph"/>
        <w:numPr>
          <w:ilvl w:val="0"/>
          <w:numId w:val="1"/>
        </w:numPr>
        <w:jc w:val="both"/>
      </w:pPr>
      <w:r>
        <w:t>Send</w:t>
      </w:r>
      <w:r w:rsidR="008F2076" w:rsidRPr="003E749F">
        <w:t xml:space="preserve"> a </w:t>
      </w:r>
      <w:r>
        <w:t>current</w:t>
      </w:r>
      <w:r w:rsidR="008F2076" w:rsidRPr="003E749F">
        <w:t xml:space="preserve"> CV to the Department Head.  </w:t>
      </w:r>
    </w:p>
    <w:p w14:paraId="54A22C91" w14:textId="1888F9F3" w:rsidR="008F2076" w:rsidRPr="003E749F" w:rsidRDefault="008F2076" w:rsidP="000F081B">
      <w:pPr>
        <w:pStyle w:val="ListParagraph"/>
        <w:numPr>
          <w:ilvl w:val="0"/>
          <w:numId w:val="1"/>
        </w:numPr>
        <w:jc w:val="both"/>
      </w:pPr>
      <w:r w:rsidRPr="003E749F">
        <w:t xml:space="preserve">Upon invitation from the Department Head, </w:t>
      </w:r>
      <w:r w:rsidR="003276BA">
        <w:t xml:space="preserve">give a </w:t>
      </w:r>
      <w:r w:rsidR="00344082">
        <w:t>seminar</w:t>
      </w:r>
      <w:r w:rsidR="003276BA">
        <w:t xml:space="preserve"> on your research</w:t>
      </w:r>
      <w:r w:rsidRPr="003E749F">
        <w:t xml:space="preserve"> during the r</w:t>
      </w:r>
      <w:r>
        <w:t>egular</w:t>
      </w:r>
      <w:r w:rsidR="00F86545">
        <w:t xml:space="preserve"> Wednesday</w:t>
      </w:r>
      <w:r>
        <w:t xml:space="preserve"> weekly colloquium</w:t>
      </w:r>
      <w:r w:rsidR="003276BA">
        <w:t>.  This</w:t>
      </w:r>
      <w:r w:rsidRPr="003E749F">
        <w:t xml:space="preserve"> seminar serves three purposes:  </w:t>
      </w:r>
      <w:r w:rsidR="00344082">
        <w:t xml:space="preserve">1) it </w:t>
      </w:r>
      <w:r w:rsidRPr="003E749F">
        <w:t xml:space="preserve">helps introduce </w:t>
      </w:r>
      <w:r w:rsidR="003276BA">
        <w:t xml:space="preserve">you </w:t>
      </w:r>
      <w:r w:rsidRPr="003E749F">
        <w:t>to the tenure-</w:t>
      </w:r>
      <w:r w:rsidR="003276BA">
        <w:t>line faculty;</w:t>
      </w:r>
      <w:r w:rsidRPr="003E749F">
        <w:t xml:space="preserve"> </w:t>
      </w:r>
      <w:r w:rsidR="00344082">
        <w:t xml:space="preserve">2) it </w:t>
      </w:r>
      <w:r w:rsidRPr="003E749F">
        <w:t>build</w:t>
      </w:r>
      <w:r>
        <w:t>s</w:t>
      </w:r>
      <w:r w:rsidRPr="003E749F">
        <w:t xml:space="preserve"> relationships between </w:t>
      </w:r>
      <w:r w:rsidR="003276BA">
        <w:t>you,</w:t>
      </w:r>
      <w:r>
        <w:t xml:space="preserve"> </w:t>
      </w:r>
      <w:r w:rsidRPr="003E749F">
        <w:t>tenure-</w:t>
      </w:r>
      <w:r w:rsidR="003276BA">
        <w:t>line</w:t>
      </w:r>
      <w:r w:rsidRPr="003E749F">
        <w:t xml:space="preserve"> faculty</w:t>
      </w:r>
      <w:r w:rsidR="003276BA">
        <w:t>, and graduate students;</w:t>
      </w:r>
      <w:r w:rsidRPr="003E749F">
        <w:t xml:space="preserve"> and</w:t>
      </w:r>
      <w:r w:rsidR="00344082">
        <w:t xml:space="preserve"> 3) it</w:t>
      </w:r>
      <w:r w:rsidRPr="003E749F">
        <w:t xml:space="preserve"> </w:t>
      </w:r>
      <w:r w:rsidR="003276BA">
        <w:t>allows</w:t>
      </w:r>
      <w:r>
        <w:t xml:space="preserve"> the D</w:t>
      </w:r>
      <w:r w:rsidRPr="003E749F">
        <w:t xml:space="preserve">epartment to </w:t>
      </w:r>
      <w:r w:rsidR="003276BA">
        <w:t>assess your potential as a graduate</w:t>
      </w:r>
      <w:r w:rsidRPr="003E749F">
        <w:t xml:space="preserve"> </w:t>
      </w:r>
      <w:r w:rsidR="003276BA">
        <w:t xml:space="preserve">course </w:t>
      </w:r>
      <w:r>
        <w:t>lecturer</w:t>
      </w:r>
      <w:r w:rsidRPr="003E749F">
        <w:t xml:space="preserve">.  </w:t>
      </w:r>
    </w:p>
    <w:p w14:paraId="6C94935C" w14:textId="5B251021" w:rsidR="008F2076" w:rsidRPr="003E749F" w:rsidRDefault="008F2076" w:rsidP="000F081B">
      <w:pPr>
        <w:pStyle w:val="ListParagraph"/>
        <w:numPr>
          <w:ilvl w:val="0"/>
          <w:numId w:val="1"/>
        </w:numPr>
        <w:jc w:val="both"/>
      </w:pPr>
      <w:r w:rsidRPr="003E749F">
        <w:t>At the next regular faculty meeting</w:t>
      </w:r>
      <w:r w:rsidR="00FF120C">
        <w:t xml:space="preserve"> after your </w:t>
      </w:r>
      <w:r w:rsidR="0012789B">
        <w:t>seminar</w:t>
      </w:r>
      <w:r w:rsidRPr="003E749F">
        <w:t xml:space="preserve">, </w:t>
      </w:r>
      <w:r w:rsidR="0012789B">
        <w:t>members of the Graduate F</w:t>
      </w:r>
      <w:r w:rsidR="0012789B" w:rsidRPr="0012789B">
        <w:t>aculty</w:t>
      </w:r>
      <w:r w:rsidR="0012789B">
        <w:t xml:space="preserve"> will</w:t>
      </w:r>
      <w:r w:rsidRPr="003E749F">
        <w:t xml:space="preserve"> vote on </w:t>
      </w:r>
      <w:r w:rsidR="0012789B">
        <w:t>your</w:t>
      </w:r>
      <w:r w:rsidRPr="003E749F">
        <w:t xml:space="preserve"> nomination</w:t>
      </w:r>
      <w:r>
        <w:t xml:space="preserve">.  </w:t>
      </w:r>
      <w:r w:rsidRPr="003E749F">
        <w:t xml:space="preserve">If the nomination passes, then </w:t>
      </w:r>
      <w:r w:rsidR="0012789B">
        <w:t>you will work with</w:t>
      </w:r>
      <w:r>
        <w:t xml:space="preserve"> the D</w:t>
      </w:r>
      <w:r w:rsidRPr="003E749F">
        <w:t xml:space="preserve">epartment office </w:t>
      </w:r>
      <w:r w:rsidR="0012789B">
        <w:t>staff to complete the Graduate F</w:t>
      </w:r>
      <w:r w:rsidRPr="003E749F">
        <w:t>aculty membership form.</w:t>
      </w:r>
    </w:p>
    <w:p w14:paraId="1AE624B7" w14:textId="71374A13" w:rsidR="008F2076" w:rsidRPr="003E749F" w:rsidRDefault="008F2076" w:rsidP="000F081B">
      <w:pPr>
        <w:pStyle w:val="ListParagraph"/>
        <w:numPr>
          <w:ilvl w:val="0"/>
          <w:numId w:val="1"/>
        </w:numPr>
        <w:jc w:val="both"/>
      </w:pPr>
      <w:r w:rsidRPr="003E749F">
        <w:t xml:space="preserve">The Department Head </w:t>
      </w:r>
      <w:r w:rsidR="00B35C52">
        <w:t>will submit</w:t>
      </w:r>
      <w:r w:rsidRPr="003E749F">
        <w:t xml:space="preserve"> the completed </w:t>
      </w:r>
      <w:r w:rsidR="0012789B">
        <w:t>Graduate F</w:t>
      </w:r>
      <w:r w:rsidRPr="003E749F">
        <w:t>aculty nomination form to the Graduate School.</w:t>
      </w:r>
      <w:r w:rsidR="0012789B">
        <w:t xml:space="preserve">  The nomination must be approved by appropriate College-level </w:t>
      </w:r>
      <w:r w:rsidR="000A507E">
        <w:t>and University-level committees; you will be notified of the outcome at the end of this process.</w:t>
      </w:r>
    </w:p>
    <w:p w14:paraId="2555DFD2" w14:textId="66D74C41" w:rsidR="0065150F" w:rsidRPr="003E749F" w:rsidRDefault="0065150F" w:rsidP="000F081B">
      <w:pPr>
        <w:jc w:val="both"/>
      </w:pPr>
    </w:p>
    <w:p w14:paraId="56F4560F" w14:textId="3D69DB0C" w:rsidR="00C81EF2" w:rsidRPr="005F1E9C" w:rsidRDefault="006B586E" w:rsidP="000F081B">
      <w:pPr>
        <w:jc w:val="both"/>
      </w:pPr>
      <w:r>
        <w:t xml:space="preserve">To maintain membership on the graduate faculty, </w:t>
      </w:r>
      <w:r w:rsidR="007B0A3A">
        <w:t xml:space="preserve">it is the responsibility of the </w:t>
      </w:r>
      <w:r w:rsidR="001A0E82">
        <w:t>NTL</w:t>
      </w:r>
      <w:r>
        <w:t xml:space="preserve"> faculty member</w:t>
      </w:r>
      <w:r w:rsidR="007B0A3A">
        <w:t xml:space="preserve"> </w:t>
      </w:r>
      <w:r>
        <w:t>to supervise</w:t>
      </w:r>
      <w:r w:rsidRPr="006B586E">
        <w:t xml:space="preserve"> graduate students</w:t>
      </w:r>
      <w:r>
        <w:t>, serve</w:t>
      </w:r>
      <w:r w:rsidRPr="006B586E">
        <w:t xml:space="preserve"> on M.S./P</w:t>
      </w:r>
      <w:r>
        <w:t>h.D. committees, and/or teach</w:t>
      </w:r>
      <w:r w:rsidRPr="006B586E">
        <w:t xml:space="preserve"> graduate-level classes</w:t>
      </w:r>
      <w:r>
        <w:t xml:space="preserve">.  </w:t>
      </w:r>
      <w:r w:rsidRPr="006B586E">
        <w:t xml:space="preserve"> </w:t>
      </w:r>
      <w:r w:rsidR="00C81EF2">
        <w:t xml:space="preserve">Every 3 years, the Department Head will review the status of </w:t>
      </w:r>
      <w:r w:rsidR="00B5032A">
        <w:t xml:space="preserve">each </w:t>
      </w:r>
      <w:r w:rsidR="001A0E82">
        <w:t>NTL</w:t>
      </w:r>
      <w:r w:rsidR="00C81EF2">
        <w:t xml:space="preserve"> faculty member o</w:t>
      </w:r>
      <w:r w:rsidR="00B5032A">
        <w:t>n</w:t>
      </w:r>
      <w:r w:rsidR="00C81EF2">
        <w:t xml:space="preserve"> the Graduate Faculty to ensure the requirements for membership</w:t>
      </w:r>
      <w:r w:rsidR="00B5032A">
        <w:t xml:space="preserve"> are being met</w:t>
      </w:r>
      <w:r>
        <w:t xml:space="preserve">; if not, </w:t>
      </w:r>
      <w:r w:rsidR="00C81EF2">
        <w:t xml:space="preserve">the </w:t>
      </w:r>
      <w:r w:rsidR="00EC68EA">
        <w:t xml:space="preserve">Department Head will meet with the </w:t>
      </w:r>
      <w:r w:rsidR="001A0E82">
        <w:t>NTL</w:t>
      </w:r>
      <w:r w:rsidR="00E07372">
        <w:t xml:space="preserve"> faculty member </w:t>
      </w:r>
      <w:r w:rsidR="00EC68EA">
        <w:t xml:space="preserve">to discuss </w:t>
      </w:r>
      <w:r w:rsidR="00B828A7">
        <w:t>their</w:t>
      </w:r>
      <w:r w:rsidR="00F11C84">
        <w:t xml:space="preserve"> interest in retaining </w:t>
      </w:r>
      <w:r w:rsidR="00E07372">
        <w:t>Graduate Faculty</w:t>
      </w:r>
      <w:r w:rsidR="00F11C84">
        <w:t xml:space="preserve"> membership.  To retain membership, the </w:t>
      </w:r>
      <w:r w:rsidR="001A0E82">
        <w:t>NTL</w:t>
      </w:r>
      <w:r w:rsidR="00F11C84">
        <w:t xml:space="preserve"> faculty member must develop </w:t>
      </w:r>
      <w:r w:rsidR="000B5228">
        <w:t xml:space="preserve">and </w:t>
      </w:r>
      <w:r w:rsidR="00654F9D">
        <w:t xml:space="preserve">successfully </w:t>
      </w:r>
      <w:r w:rsidR="000B5228">
        <w:t xml:space="preserve">implement </w:t>
      </w:r>
      <w:r w:rsidR="00F11C84">
        <w:t>a plan to meet the requirements for membership, ot</w:t>
      </w:r>
      <w:r w:rsidR="000B5228">
        <w:t xml:space="preserve">herwise the </w:t>
      </w:r>
      <w:r w:rsidR="001A0E82">
        <w:t>NTL</w:t>
      </w:r>
      <w:r w:rsidR="000B5228">
        <w:t xml:space="preserve"> faculty member </w:t>
      </w:r>
      <w:r w:rsidR="00F11C84">
        <w:t xml:space="preserve">will be removed from the Graduate Faculty.  </w:t>
      </w:r>
      <w:r w:rsidR="000B5228">
        <w:t>Any</w:t>
      </w:r>
      <w:r w:rsidR="00E07372">
        <w:t xml:space="preserve"> </w:t>
      </w:r>
      <w:r w:rsidR="001A0E82">
        <w:t>NTL</w:t>
      </w:r>
      <w:r w:rsidR="00E07372">
        <w:t xml:space="preserve"> faculty member</w:t>
      </w:r>
      <w:r w:rsidR="000B5228">
        <w:t xml:space="preserve"> removed from Graduate Faculty membership can</w:t>
      </w:r>
      <w:r w:rsidR="00E07372">
        <w:t xml:space="preserve"> reapply for Graduate Faculty membership</w:t>
      </w:r>
      <w:r w:rsidR="00D7581C">
        <w:t xml:space="preserve"> via a simplified process of obtaining two nominations from current members of the Graduate Faculty (one from a tenure-track faculty member), providing a current CV to t</w:t>
      </w:r>
      <w:r w:rsidR="002A2A41">
        <w:t xml:space="preserve">he Department Head, and having a passing nomination vote </w:t>
      </w:r>
      <w:r w:rsidR="00D7581C">
        <w:t>at the next faculty meeting by members of the Graduate Faculty</w:t>
      </w:r>
      <w:r w:rsidR="00D24743" w:rsidRPr="005F1E9C">
        <w:t>.</w:t>
      </w:r>
      <w:r w:rsidR="00840A63">
        <w:t xml:space="preserve">  If the </w:t>
      </w:r>
      <w:r w:rsidR="001B0F62" w:rsidRPr="005F1E9C">
        <w:t>lapse in membership on the Graduate Faculty</w:t>
      </w:r>
      <w:r w:rsidR="00840A63">
        <w:t xml:space="preserve"> is more than two years</w:t>
      </w:r>
      <w:r w:rsidR="001B0F62" w:rsidRPr="005F1E9C">
        <w:t xml:space="preserve">, then the Department Head may require the candidate </w:t>
      </w:r>
      <w:r w:rsidR="005F1E9C" w:rsidRPr="005F1E9C">
        <w:t>to follow the full nomination process</w:t>
      </w:r>
      <w:r w:rsidR="005F1E9C">
        <w:t xml:space="preserve">, including the colloquium talk, as described by steps 1-6 above.  </w:t>
      </w:r>
    </w:p>
    <w:p w14:paraId="4A6521BB" w14:textId="77777777" w:rsidR="00D90AE7" w:rsidRDefault="00D90AE7" w:rsidP="000F081B">
      <w:pPr>
        <w:jc w:val="both"/>
      </w:pPr>
    </w:p>
    <w:p w14:paraId="69DD3258" w14:textId="3D9C38B1" w:rsidR="00CC2BA5" w:rsidRPr="00B04978" w:rsidRDefault="00B04978" w:rsidP="000F081B">
      <w:pPr>
        <w:jc w:val="both"/>
        <w:rPr>
          <w:b/>
        </w:rPr>
      </w:pPr>
      <w:r w:rsidRPr="00B04978">
        <w:rPr>
          <w:b/>
        </w:rPr>
        <w:t>Promotions</w:t>
      </w:r>
    </w:p>
    <w:p w14:paraId="577AA30E" w14:textId="25EEED1F" w:rsidR="00985FD6" w:rsidRPr="003E749F" w:rsidRDefault="00B04978" w:rsidP="000F081B">
      <w:pPr>
        <w:jc w:val="both"/>
      </w:pPr>
      <w:r>
        <w:t xml:space="preserve">The College of EMS acknowledges that </w:t>
      </w:r>
      <w:r w:rsidR="001A0E82">
        <w:t>NTL</w:t>
      </w:r>
      <w:r>
        <w:t xml:space="preserve"> faculty play a different role within the college than tenure-line faculty.  As a result, </w:t>
      </w:r>
      <w:r w:rsidR="001A0E82">
        <w:t>NTL</w:t>
      </w:r>
      <w:r>
        <w:t xml:space="preserve"> faculty members have different career paths and are</w:t>
      </w:r>
      <w:r w:rsidR="006D38D0">
        <w:t xml:space="preserve"> </w:t>
      </w:r>
      <w:r>
        <w:lastRenderedPageBreak/>
        <w:t xml:space="preserve">evaluated differently than tenure-line faculty.  It is important </w:t>
      </w:r>
      <w:r w:rsidR="006D38D0">
        <w:t>that</w:t>
      </w:r>
      <w:r w:rsidR="000E289B">
        <w:t xml:space="preserve"> the evaluation of</w:t>
      </w:r>
      <w:r w:rsidR="006D38D0">
        <w:t xml:space="preserve"> </w:t>
      </w:r>
      <w:r w:rsidR="001A0E82">
        <w:t>NTL</w:t>
      </w:r>
      <w:r w:rsidR="006D38D0">
        <w:t xml:space="preserve"> faculty </w:t>
      </w:r>
      <w:r w:rsidR="000F081B">
        <w:t>is</w:t>
      </w:r>
      <w:r w:rsidR="006D38D0">
        <w:t xml:space="preserve"> </w:t>
      </w:r>
      <w:r>
        <w:t xml:space="preserve">based upon each </w:t>
      </w:r>
      <w:r w:rsidR="001A0E82">
        <w:t>NTL</w:t>
      </w:r>
      <w:r>
        <w:t xml:space="preserve"> faculty member’s unique </w:t>
      </w:r>
      <w:r w:rsidR="006D38D0">
        <w:t xml:space="preserve">career context and job description.  </w:t>
      </w:r>
    </w:p>
    <w:p w14:paraId="7035508E" w14:textId="2AC147FF" w:rsidR="00921B29" w:rsidRDefault="00921B29" w:rsidP="000F081B">
      <w:pPr>
        <w:jc w:val="both"/>
      </w:pPr>
    </w:p>
    <w:p w14:paraId="53F3DABA" w14:textId="3DF30290" w:rsidR="00182BA2" w:rsidRPr="00182BA2" w:rsidRDefault="00182BA2" w:rsidP="000F081B">
      <w:pPr>
        <w:ind w:left="360"/>
        <w:jc w:val="both"/>
        <w:rPr>
          <w:b/>
          <w:i/>
        </w:rPr>
      </w:pPr>
      <w:r w:rsidRPr="00182BA2">
        <w:rPr>
          <w:b/>
          <w:i/>
        </w:rPr>
        <w:t>Annual Reviews</w:t>
      </w:r>
    </w:p>
    <w:p w14:paraId="6A12CE4C" w14:textId="537BCE5A" w:rsidR="004E0352" w:rsidRDefault="00182BA2" w:rsidP="000F081B">
      <w:pPr>
        <w:ind w:left="360"/>
        <w:jc w:val="both"/>
      </w:pPr>
      <w:r>
        <w:t xml:space="preserve">The </w:t>
      </w:r>
      <w:r w:rsidR="001A0E82">
        <w:t>NTL</w:t>
      </w:r>
      <w:r>
        <w:t xml:space="preserve"> faculty promotion process is built upon the annual performance review process.  Preparing the annual review is a shared responsibility of the</w:t>
      </w:r>
      <w:r w:rsidR="00B828A7">
        <w:t xml:space="preserve"> </w:t>
      </w:r>
      <w:r w:rsidR="001A0E82">
        <w:t>NTL</w:t>
      </w:r>
      <w:r w:rsidR="00B828A7">
        <w:t xml:space="preserve"> faculty member and their</w:t>
      </w:r>
      <w:r>
        <w:t xml:space="preserve"> supervisor and/or unit leader.  The dean’s annual letter of guidance, the applicable year’s job description, the annual summary, and a candidate's evidence become the </w:t>
      </w:r>
      <w:r w:rsidR="001A0E82">
        <w:t>NTL</w:t>
      </w:r>
      <w:r>
        <w:t xml:space="preserve"> faculty’s “annual review.”  An annual meeting b</w:t>
      </w:r>
      <w:r w:rsidR="00B828A7">
        <w:t>etween the candidate and their</w:t>
      </w:r>
      <w:r>
        <w:t xml:space="preserve"> supervisor provides a basis for a further revision of the job description for the following year. </w:t>
      </w:r>
    </w:p>
    <w:p w14:paraId="2CD1B909" w14:textId="77777777" w:rsidR="004E0352" w:rsidRDefault="004E0352" w:rsidP="000F081B">
      <w:pPr>
        <w:ind w:left="360"/>
        <w:jc w:val="both"/>
      </w:pPr>
    </w:p>
    <w:p w14:paraId="69AB219C" w14:textId="2A70E996" w:rsidR="00182BA2" w:rsidRDefault="004E0352" w:rsidP="004E0352">
      <w:pPr>
        <w:ind w:left="360"/>
        <w:jc w:val="both"/>
      </w:pPr>
      <w:r>
        <w:t xml:space="preserve">Annual reviews summarize your job performance for the previous calendar year (January to December).  </w:t>
      </w:r>
      <w:r w:rsidR="00182BA2">
        <w:t xml:space="preserve">The </w:t>
      </w:r>
      <w:r>
        <w:t xml:space="preserve">steps in the annual review </w:t>
      </w:r>
      <w:r w:rsidR="00182BA2">
        <w:t xml:space="preserve">process </w:t>
      </w:r>
      <w:r>
        <w:t>repeat</w:t>
      </w:r>
      <w:r w:rsidR="005E397C">
        <w:t xml:space="preserve"> </w:t>
      </w:r>
      <w:r>
        <w:t xml:space="preserve">every year and </w:t>
      </w:r>
      <w:r w:rsidR="00501099">
        <w:t xml:space="preserve">are </w:t>
      </w:r>
      <w:r>
        <w:t>summarized below.</w:t>
      </w:r>
    </w:p>
    <w:p w14:paraId="7A8C4144" w14:textId="7A8A5B03" w:rsidR="00182BA2" w:rsidRDefault="00182BA2" w:rsidP="000F081B">
      <w:pPr>
        <w:pStyle w:val="ListParagraph"/>
        <w:numPr>
          <w:ilvl w:val="0"/>
          <w:numId w:val="7"/>
        </w:numPr>
        <w:jc w:val="both"/>
      </w:pPr>
      <w:r w:rsidRPr="005E397C">
        <w:rPr>
          <w:b/>
        </w:rPr>
        <w:t>Annual Letter of Guidance (February</w:t>
      </w:r>
      <w:r w:rsidR="004E0352">
        <w:rPr>
          <w:b/>
        </w:rPr>
        <w:t>/March</w:t>
      </w:r>
      <w:r w:rsidRPr="005E397C">
        <w:rPr>
          <w:b/>
        </w:rPr>
        <w:t>):</w:t>
      </w:r>
      <w:r>
        <w:t xml:space="preserve"> The dean </w:t>
      </w:r>
      <w:r w:rsidR="004E0352">
        <w:t>sends</w:t>
      </w:r>
      <w:r>
        <w:t xml:space="preserve"> an annual letter of guidance </w:t>
      </w:r>
      <w:r w:rsidR="004E0352">
        <w:t xml:space="preserve">to </w:t>
      </w:r>
      <w:r w:rsidR="001A0E82">
        <w:t>NTL</w:t>
      </w:r>
      <w:r w:rsidR="004E0352">
        <w:t xml:space="preserve"> faculty that describes</w:t>
      </w:r>
      <w:r>
        <w:t xml:space="preserve"> the </w:t>
      </w:r>
      <w:r w:rsidR="001A0E82">
        <w:t>NTL</w:t>
      </w:r>
      <w:r>
        <w:t xml:space="preserve"> faculty e</w:t>
      </w:r>
      <w:r w:rsidR="004E0352">
        <w:t xml:space="preserve">valuation and promotion process.  </w:t>
      </w:r>
      <w:r>
        <w:t xml:space="preserve">The letter is </w:t>
      </w:r>
      <w:r w:rsidR="004E0352">
        <w:t>distributed</w:t>
      </w:r>
      <w:r w:rsidR="005E397C">
        <w:t xml:space="preserve"> </w:t>
      </w:r>
      <w:r>
        <w:t xml:space="preserve">via </w:t>
      </w:r>
      <w:r w:rsidR="004E0352">
        <w:t>email</w:t>
      </w:r>
      <w:r>
        <w:t xml:space="preserve">. </w:t>
      </w:r>
      <w:r w:rsidR="003B21D6">
        <w:t xml:space="preserve"> </w:t>
      </w:r>
      <w:r w:rsidR="004E0352">
        <w:t>It</w:t>
      </w:r>
      <w:r>
        <w:t xml:space="preserve"> provides broad guidance</w:t>
      </w:r>
      <w:r w:rsidR="004E0352">
        <w:t xml:space="preserve"> </w:t>
      </w:r>
      <w:r>
        <w:t xml:space="preserve">and </w:t>
      </w:r>
      <w:r w:rsidR="004E0352">
        <w:t xml:space="preserve">includes reminders about </w:t>
      </w:r>
      <w:r>
        <w:t xml:space="preserve">the critical </w:t>
      </w:r>
      <w:r w:rsidR="004E0352">
        <w:t>deadlines for the annual review</w:t>
      </w:r>
      <w:r>
        <w:t>.</w:t>
      </w:r>
    </w:p>
    <w:p w14:paraId="2448AC84" w14:textId="18157928" w:rsidR="00182BA2" w:rsidRDefault="00182BA2" w:rsidP="000F081B">
      <w:pPr>
        <w:pStyle w:val="ListParagraph"/>
        <w:numPr>
          <w:ilvl w:val="0"/>
          <w:numId w:val="7"/>
        </w:numPr>
        <w:jc w:val="both"/>
      </w:pPr>
      <w:r w:rsidRPr="005E397C">
        <w:rPr>
          <w:b/>
        </w:rPr>
        <w:t>Faculty Activity Summary (March</w:t>
      </w:r>
      <w:r w:rsidR="004E0352">
        <w:rPr>
          <w:b/>
        </w:rPr>
        <w:t>/early April</w:t>
      </w:r>
      <w:r w:rsidRPr="005E397C">
        <w:rPr>
          <w:b/>
        </w:rPr>
        <w:t>):</w:t>
      </w:r>
      <w:r>
        <w:t xml:space="preserve"> </w:t>
      </w:r>
      <w:r w:rsidR="00197CDC">
        <w:t>You prepare</w:t>
      </w:r>
      <w:r>
        <w:t xml:space="preserve"> the </w:t>
      </w:r>
      <w:r w:rsidR="004E0352">
        <w:t>f</w:t>
      </w:r>
      <w:r>
        <w:t xml:space="preserve">aculty </w:t>
      </w:r>
      <w:r w:rsidR="004E0352">
        <w:t>a</w:t>
      </w:r>
      <w:r>
        <w:t>ctivity</w:t>
      </w:r>
      <w:r w:rsidR="005E397C">
        <w:t xml:space="preserve"> </w:t>
      </w:r>
      <w:r w:rsidR="004E0352">
        <w:t>s</w:t>
      </w:r>
      <w:r>
        <w:t xml:space="preserve">ummary </w:t>
      </w:r>
      <w:r w:rsidR="002D0DA3">
        <w:t xml:space="preserve">document </w:t>
      </w:r>
      <w:r>
        <w:t>(including job description), utilizing the format supplied by the College.</w:t>
      </w:r>
    </w:p>
    <w:p w14:paraId="794E1189" w14:textId="77777777" w:rsidR="00AD1710" w:rsidRPr="00AD1710" w:rsidRDefault="00182BA2" w:rsidP="000F081B">
      <w:pPr>
        <w:pStyle w:val="ListParagraph"/>
        <w:numPr>
          <w:ilvl w:val="0"/>
          <w:numId w:val="7"/>
        </w:numPr>
        <w:jc w:val="both"/>
        <w:rPr>
          <w:strike/>
        </w:rPr>
      </w:pPr>
      <w:r w:rsidRPr="005E397C">
        <w:rPr>
          <w:b/>
        </w:rPr>
        <w:t>Annual Review (by</w:t>
      </w:r>
      <w:r w:rsidR="004E0352">
        <w:rPr>
          <w:b/>
        </w:rPr>
        <w:t xml:space="preserve"> </w:t>
      </w:r>
      <w:r w:rsidRPr="005E397C">
        <w:rPr>
          <w:b/>
        </w:rPr>
        <w:t>April</w:t>
      </w:r>
      <w:r w:rsidR="004E0352">
        <w:rPr>
          <w:b/>
        </w:rPr>
        <w:t xml:space="preserve"> 15</w:t>
      </w:r>
      <w:r w:rsidRPr="005E397C">
        <w:rPr>
          <w:b/>
        </w:rPr>
        <w:t>):</w:t>
      </w:r>
      <w:r w:rsidR="00197CDC">
        <w:t xml:space="preserve"> You meet with your supervisor to discuss</w:t>
      </w:r>
      <w:r>
        <w:t xml:space="preserve"> the faculty activity summary, including job description, prior year activities, and future goals.</w:t>
      </w:r>
      <w:r w:rsidR="005E397C">
        <w:t xml:space="preserve"> </w:t>
      </w:r>
      <w:r>
        <w:t xml:space="preserve"> If </w:t>
      </w:r>
      <w:r w:rsidR="003B21D6">
        <w:t>it is your</w:t>
      </w:r>
      <w:r>
        <w:t xml:space="preserve"> first year, the job description only is discussed.</w:t>
      </w:r>
      <w:r w:rsidR="00AD1710">
        <w:t xml:space="preserve">  Please make sure that your job description is accurate and reflects your current and expected future duties. </w:t>
      </w:r>
    </w:p>
    <w:p w14:paraId="77779AF5" w14:textId="0EE993F8" w:rsidR="00182BA2" w:rsidRPr="00D24743" w:rsidRDefault="00654F9D" w:rsidP="000F081B">
      <w:pPr>
        <w:pStyle w:val="ListParagraph"/>
        <w:numPr>
          <w:ilvl w:val="0"/>
          <w:numId w:val="7"/>
        </w:numPr>
        <w:jc w:val="both"/>
        <w:rPr>
          <w:strike/>
        </w:rPr>
      </w:pPr>
      <w:r>
        <w:rPr>
          <w:b/>
        </w:rPr>
        <w:t>Annual Assessment (by 15 August</w:t>
      </w:r>
      <w:r w:rsidR="00AD1710">
        <w:rPr>
          <w:b/>
        </w:rPr>
        <w:t>):</w:t>
      </w:r>
      <w:r w:rsidR="00840A63">
        <w:t xml:space="preserve"> If not completed as part of the Annual Review, y</w:t>
      </w:r>
      <w:r w:rsidR="00AD1710">
        <w:t>our supervisor will provide you with a written assessment of your performance during the past calendar year.</w:t>
      </w:r>
      <w:r w:rsidR="00182BA2">
        <w:t xml:space="preserve"> </w:t>
      </w:r>
      <w:r w:rsidR="005E397C">
        <w:t xml:space="preserve"> </w:t>
      </w:r>
      <w:r w:rsidR="003B21D6" w:rsidRPr="00AD1710">
        <w:rPr>
          <w:i/>
        </w:rPr>
        <w:t>You</w:t>
      </w:r>
      <w:r w:rsidR="00182BA2" w:rsidRPr="00AD1710">
        <w:rPr>
          <w:i/>
        </w:rPr>
        <w:t xml:space="preserve"> and </w:t>
      </w:r>
      <w:r w:rsidR="003B21D6" w:rsidRPr="00AD1710">
        <w:rPr>
          <w:i/>
        </w:rPr>
        <w:t>your</w:t>
      </w:r>
      <w:r w:rsidR="00182BA2" w:rsidRPr="00AD1710">
        <w:rPr>
          <w:i/>
        </w:rPr>
        <w:t xml:space="preserve"> supervisor sh</w:t>
      </w:r>
      <w:r w:rsidR="005E397C" w:rsidRPr="00AD1710">
        <w:rPr>
          <w:i/>
        </w:rPr>
        <w:t xml:space="preserve">ould ensure that a copy of </w:t>
      </w:r>
      <w:r w:rsidR="003B21D6" w:rsidRPr="00AD1710">
        <w:rPr>
          <w:i/>
        </w:rPr>
        <w:t>your</w:t>
      </w:r>
      <w:r w:rsidR="005E397C" w:rsidRPr="00AD1710">
        <w:rPr>
          <w:i/>
        </w:rPr>
        <w:t xml:space="preserve"> annual </w:t>
      </w:r>
      <w:r w:rsidR="00AD1710">
        <w:rPr>
          <w:i/>
        </w:rPr>
        <w:t>written assessment</w:t>
      </w:r>
      <w:r w:rsidR="005E397C" w:rsidRPr="00AD1710">
        <w:rPr>
          <w:i/>
        </w:rPr>
        <w:t xml:space="preserve"> </w:t>
      </w:r>
      <w:r w:rsidR="00277766" w:rsidRPr="00AD1710">
        <w:rPr>
          <w:i/>
        </w:rPr>
        <w:t>is included in your personnel file</w:t>
      </w:r>
      <w:r w:rsidR="00464486" w:rsidRPr="00464486">
        <w:t>.</w:t>
      </w:r>
      <w:r w:rsidR="00EC435C">
        <w:t xml:space="preserve">  </w:t>
      </w:r>
    </w:p>
    <w:p w14:paraId="5D07C6A7" w14:textId="5349191F" w:rsidR="00182BA2" w:rsidRDefault="005E397C" w:rsidP="000F081B">
      <w:pPr>
        <w:pStyle w:val="ListParagraph"/>
        <w:numPr>
          <w:ilvl w:val="0"/>
          <w:numId w:val="7"/>
        </w:numPr>
        <w:jc w:val="both"/>
      </w:pPr>
      <w:r>
        <w:rPr>
          <w:b/>
        </w:rPr>
        <w:t>Evidence Compilation (</w:t>
      </w:r>
      <w:r w:rsidR="002D0DA3">
        <w:rPr>
          <w:b/>
        </w:rPr>
        <w:t>January to December</w:t>
      </w:r>
      <w:r w:rsidR="00182BA2" w:rsidRPr="005E397C">
        <w:rPr>
          <w:b/>
        </w:rPr>
        <w:t>):</w:t>
      </w:r>
      <w:r w:rsidR="00182BA2">
        <w:t xml:space="preserve"> Throughout the year, </w:t>
      </w:r>
      <w:r w:rsidR="003B21D6">
        <w:t>you should compile</w:t>
      </w:r>
      <w:r w:rsidR="00182BA2">
        <w:t xml:space="preserve"> evidence relevant to </w:t>
      </w:r>
      <w:r w:rsidR="003B21D6">
        <w:t>your</w:t>
      </w:r>
      <w:r w:rsidR="00182BA2">
        <w:t xml:space="preserve"> job description.</w:t>
      </w:r>
    </w:p>
    <w:p w14:paraId="1EE0EF33" w14:textId="07763D97" w:rsidR="00C32535" w:rsidRDefault="00C32535" w:rsidP="000F081B">
      <w:pPr>
        <w:jc w:val="both"/>
      </w:pPr>
    </w:p>
    <w:p w14:paraId="0596FF7C" w14:textId="167C0EC3" w:rsidR="00182BA2" w:rsidRPr="00197CDC" w:rsidRDefault="000E289B" w:rsidP="000F081B">
      <w:pPr>
        <w:ind w:left="450"/>
        <w:jc w:val="both"/>
        <w:rPr>
          <w:b/>
          <w:i/>
        </w:rPr>
      </w:pPr>
      <w:r w:rsidRPr="00197CDC">
        <w:rPr>
          <w:b/>
          <w:i/>
        </w:rPr>
        <w:t>Promotion Process</w:t>
      </w:r>
      <w:r w:rsidR="00197CDC">
        <w:rPr>
          <w:b/>
          <w:i/>
        </w:rPr>
        <w:t xml:space="preserve"> and Promotion Dossier</w:t>
      </w:r>
    </w:p>
    <w:p w14:paraId="44830DB3" w14:textId="36486AB5" w:rsidR="000E289B" w:rsidRDefault="000E289B" w:rsidP="00400752">
      <w:pPr>
        <w:ind w:left="450"/>
        <w:jc w:val="both"/>
      </w:pPr>
      <w:r>
        <w:t xml:space="preserve">To initiate the promotion process, </w:t>
      </w:r>
      <w:r w:rsidR="00197CDC">
        <w:t>you</w:t>
      </w:r>
      <w:r>
        <w:t xml:space="preserve"> should solicit support from </w:t>
      </w:r>
      <w:r w:rsidR="003B21D6">
        <w:t>you</w:t>
      </w:r>
      <w:r>
        <w:t xml:space="preserve"> supervisor and/or unit leader during </w:t>
      </w:r>
      <w:r w:rsidR="003B21D6">
        <w:t>your</w:t>
      </w:r>
      <w:r>
        <w:t xml:space="preserve"> annual review.  After receiving favorable support, </w:t>
      </w:r>
      <w:r w:rsidR="003B21D6">
        <w:t xml:space="preserve">you </w:t>
      </w:r>
      <w:r>
        <w:t xml:space="preserve">will prepare </w:t>
      </w:r>
      <w:r w:rsidR="003B21D6">
        <w:t>your</w:t>
      </w:r>
      <w:r>
        <w:t xml:space="preserve"> Promotion Dossier</w:t>
      </w:r>
      <w:r w:rsidR="00400752">
        <w:t xml:space="preserve">.  Information on the content required in the Promotion Dossier and the specific details of the promotion process are listed in the </w:t>
      </w:r>
      <w:hyperlink r:id="rId16" w:history="1">
        <w:r w:rsidR="00A3675C">
          <w:rPr>
            <w:rStyle w:val="Hyperlink"/>
          </w:rPr>
          <w:t>Fixed Term (FT)</w:t>
        </w:r>
        <w:r w:rsidR="00400752" w:rsidRPr="008F2D81">
          <w:rPr>
            <w:rStyle w:val="Hyperlink"/>
          </w:rPr>
          <w:t xml:space="preserve"> Faculty Promotion Policy document</w:t>
        </w:r>
      </w:hyperlink>
      <w:r w:rsidR="00400752">
        <w:rPr>
          <w:rFonts w:eastAsia="Times New Roman" w:cs="Times New Roman"/>
        </w:rPr>
        <w:t xml:space="preserve">.  </w:t>
      </w:r>
    </w:p>
    <w:p w14:paraId="1E4DDCC7" w14:textId="77777777" w:rsidR="000E289B" w:rsidRDefault="000E289B" w:rsidP="000F081B">
      <w:pPr>
        <w:ind w:left="450"/>
        <w:jc w:val="both"/>
      </w:pPr>
    </w:p>
    <w:p w14:paraId="2A06D1D0" w14:textId="2F1106AB" w:rsidR="00400752" w:rsidRDefault="00400752" w:rsidP="00400752">
      <w:pPr>
        <w:ind w:left="450"/>
        <w:jc w:val="both"/>
        <w:rPr>
          <w:rFonts w:eastAsia="Times New Roman" w:cs="Times New Roman"/>
        </w:rPr>
      </w:pPr>
      <w:r>
        <w:rPr>
          <w:rFonts w:eastAsia="Times New Roman" w:cs="Times New Roman"/>
        </w:rPr>
        <w:t xml:space="preserve">The deadlines for </w:t>
      </w:r>
      <w:r w:rsidR="001A0E82">
        <w:rPr>
          <w:rFonts w:eastAsia="Times New Roman" w:cs="Times New Roman"/>
        </w:rPr>
        <w:t>NTL</w:t>
      </w:r>
      <w:r>
        <w:rPr>
          <w:rFonts w:eastAsia="Times New Roman" w:cs="Times New Roman"/>
        </w:rPr>
        <w:t xml:space="preserve"> faculty promotion include:</w:t>
      </w:r>
    </w:p>
    <w:p w14:paraId="62ABE42A" w14:textId="77777777" w:rsidR="00400752" w:rsidRPr="003E749F" w:rsidRDefault="00400752" w:rsidP="00400752">
      <w:pPr>
        <w:ind w:left="450"/>
        <w:jc w:val="both"/>
        <w:rPr>
          <w:rFonts w:eastAsia="Times New Roman" w:cs="Times New Roman"/>
        </w:rPr>
      </w:pPr>
    </w:p>
    <w:p w14:paraId="775D03A9" w14:textId="384A22CB" w:rsidR="00400752" w:rsidRPr="007D5C0E" w:rsidRDefault="00400752" w:rsidP="00400752">
      <w:pPr>
        <w:pStyle w:val="ListParagraph"/>
        <w:numPr>
          <w:ilvl w:val="0"/>
          <w:numId w:val="8"/>
        </w:numPr>
        <w:ind w:left="720"/>
        <w:jc w:val="both"/>
        <w:rPr>
          <w:rFonts w:eastAsia="Times New Roman" w:cs="Times New Roman"/>
        </w:rPr>
      </w:pPr>
      <w:r w:rsidRPr="007D5C0E">
        <w:rPr>
          <w:rFonts w:eastAsia="Times New Roman" w:cs="Times New Roman"/>
          <w:b/>
        </w:rPr>
        <w:t>1 August</w:t>
      </w:r>
      <w:r>
        <w:rPr>
          <w:rFonts w:eastAsia="Times New Roman" w:cs="Times New Roman"/>
        </w:rPr>
        <w:t xml:space="preserve">: deadline for the Chair of the Department’s </w:t>
      </w:r>
      <w:r w:rsidR="001A0E82">
        <w:rPr>
          <w:rFonts w:eastAsia="Times New Roman" w:cs="Times New Roman"/>
        </w:rPr>
        <w:t>NTL</w:t>
      </w:r>
      <w:r>
        <w:rPr>
          <w:rFonts w:eastAsia="Times New Roman" w:cs="Times New Roman"/>
        </w:rPr>
        <w:t xml:space="preserve"> Faculty Promotion Committee to solicit candidates for promotion for the upcoming academic year.  The Chair will email </w:t>
      </w:r>
      <w:r>
        <w:rPr>
          <w:rFonts w:eastAsia="Times New Roman" w:cs="Times New Roman"/>
        </w:rPr>
        <w:lastRenderedPageBreak/>
        <w:t xml:space="preserve">all of the </w:t>
      </w:r>
      <w:r w:rsidR="001A0E82">
        <w:rPr>
          <w:rFonts w:eastAsia="Times New Roman" w:cs="Times New Roman"/>
        </w:rPr>
        <w:t>NTL</w:t>
      </w:r>
      <w:r>
        <w:rPr>
          <w:rFonts w:eastAsia="Times New Roman" w:cs="Times New Roman"/>
        </w:rPr>
        <w:t xml:space="preserve"> faculty to remind them about the promotion process, along with a link to the </w:t>
      </w:r>
      <w:hyperlink r:id="rId17" w:history="1">
        <w:r w:rsidR="00B46A5B">
          <w:rPr>
            <w:rStyle w:val="Hyperlink"/>
            <w:rFonts w:eastAsia="Times New Roman" w:cs="Times New Roman"/>
          </w:rPr>
          <w:t>Fixed Term (FT)</w:t>
        </w:r>
        <w:r w:rsidRPr="008F2D81">
          <w:rPr>
            <w:rStyle w:val="Hyperlink"/>
            <w:rFonts w:eastAsia="Times New Roman" w:cs="Times New Roman"/>
          </w:rPr>
          <w:t xml:space="preserve"> Faculty Promotion Policy</w:t>
        </w:r>
      </w:hyperlink>
      <w:r>
        <w:rPr>
          <w:rFonts w:eastAsia="Times New Roman" w:cs="Times New Roman"/>
        </w:rPr>
        <w:t xml:space="preserve"> and the Department promotion deadlines.</w:t>
      </w:r>
    </w:p>
    <w:p w14:paraId="1B646DC6" w14:textId="3C8EC1A7" w:rsidR="004347D5" w:rsidRPr="00400752" w:rsidRDefault="00654F9D" w:rsidP="00400752">
      <w:pPr>
        <w:pStyle w:val="ListParagraph"/>
        <w:numPr>
          <w:ilvl w:val="0"/>
          <w:numId w:val="8"/>
        </w:numPr>
        <w:ind w:left="720"/>
        <w:jc w:val="both"/>
        <w:rPr>
          <w:rFonts w:eastAsia="Times New Roman" w:cs="Times New Roman"/>
        </w:rPr>
      </w:pPr>
      <w:r>
        <w:rPr>
          <w:rFonts w:eastAsia="Times New Roman" w:cs="Times New Roman"/>
          <w:b/>
        </w:rPr>
        <w:t>30</w:t>
      </w:r>
      <w:r w:rsidR="008E7F8E" w:rsidRPr="003B21D6">
        <w:rPr>
          <w:rFonts w:eastAsia="Times New Roman" w:cs="Times New Roman"/>
          <w:b/>
        </w:rPr>
        <w:t xml:space="preserve"> August</w:t>
      </w:r>
      <w:r w:rsidR="000E289B" w:rsidRPr="003B21D6">
        <w:rPr>
          <w:rFonts w:eastAsia="Times New Roman" w:cs="Times New Roman"/>
        </w:rPr>
        <w:t>:</w:t>
      </w:r>
      <w:r w:rsidR="00756106">
        <w:rPr>
          <w:rFonts w:eastAsia="Times New Roman" w:cs="Times New Roman"/>
        </w:rPr>
        <w:t xml:space="preserve"> </w:t>
      </w:r>
      <w:r w:rsidR="003B21D6">
        <w:rPr>
          <w:rFonts w:eastAsia="Times New Roman" w:cs="Times New Roman"/>
        </w:rPr>
        <w:t xml:space="preserve">deadline </w:t>
      </w:r>
      <w:r w:rsidR="00EA31BC">
        <w:rPr>
          <w:rFonts w:eastAsia="Times New Roman" w:cs="Times New Roman"/>
        </w:rPr>
        <w:t xml:space="preserve">for candidates </w:t>
      </w:r>
      <w:r w:rsidR="003B21D6">
        <w:rPr>
          <w:rFonts w:eastAsia="Times New Roman" w:cs="Times New Roman"/>
        </w:rPr>
        <w:t xml:space="preserve">to </w:t>
      </w:r>
      <w:r w:rsidR="004347D5" w:rsidRPr="003B21D6">
        <w:rPr>
          <w:rFonts w:eastAsia="Times New Roman" w:cs="Times New Roman"/>
        </w:rPr>
        <w:t xml:space="preserve">inform </w:t>
      </w:r>
      <w:r w:rsidR="008E7F8E" w:rsidRPr="003B21D6">
        <w:rPr>
          <w:rFonts w:eastAsia="Times New Roman" w:cs="Times New Roman"/>
        </w:rPr>
        <w:t>the</w:t>
      </w:r>
      <w:r w:rsidR="00B90036">
        <w:rPr>
          <w:rFonts w:eastAsia="Times New Roman" w:cs="Times New Roman"/>
        </w:rPr>
        <w:t xml:space="preserve"> Department’s</w:t>
      </w:r>
      <w:r w:rsidR="008E7F8E" w:rsidRPr="003B21D6">
        <w:rPr>
          <w:rFonts w:eastAsia="Times New Roman" w:cs="Times New Roman"/>
        </w:rPr>
        <w:t xml:space="preserve"> </w:t>
      </w:r>
      <w:r w:rsidR="001A0E82">
        <w:rPr>
          <w:rFonts w:eastAsia="Times New Roman" w:cs="Times New Roman"/>
        </w:rPr>
        <w:t>NTL</w:t>
      </w:r>
      <w:r w:rsidR="008E7F8E" w:rsidRPr="003B21D6">
        <w:rPr>
          <w:rFonts w:eastAsia="Times New Roman" w:cs="Times New Roman"/>
        </w:rPr>
        <w:t xml:space="preserve"> Faculty Promotion</w:t>
      </w:r>
      <w:r w:rsidR="004347D5" w:rsidRPr="003B21D6">
        <w:rPr>
          <w:rFonts w:eastAsia="Times New Roman" w:cs="Times New Roman"/>
        </w:rPr>
        <w:t xml:space="preserve"> Committee</w:t>
      </w:r>
      <w:r w:rsidR="00B90036">
        <w:rPr>
          <w:rFonts w:eastAsia="Times New Roman" w:cs="Times New Roman"/>
        </w:rPr>
        <w:t xml:space="preserve"> </w:t>
      </w:r>
      <w:r w:rsidR="000D1B93" w:rsidRPr="003B21D6">
        <w:rPr>
          <w:rFonts w:eastAsia="Times New Roman" w:cs="Times New Roman"/>
        </w:rPr>
        <w:t xml:space="preserve">and the Department Head of </w:t>
      </w:r>
      <w:r w:rsidR="003B21D6">
        <w:rPr>
          <w:rFonts w:eastAsia="Times New Roman" w:cs="Times New Roman"/>
        </w:rPr>
        <w:t>your interest in being</w:t>
      </w:r>
      <w:r w:rsidR="004347D5" w:rsidRPr="003B21D6">
        <w:rPr>
          <w:rFonts w:eastAsia="Times New Roman" w:cs="Times New Roman"/>
        </w:rPr>
        <w:t xml:space="preserve"> considered for promotion.</w:t>
      </w:r>
      <w:r w:rsidR="00400752" w:rsidRPr="00400752">
        <w:rPr>
          <w:rFonts w:eastAsia="Times New Roman" w:cs="Times New Roman"/>
        </w:rPr>
        <w:t xml:space="preserve"> </w:t>
      </w:r>
      <w:r w:rsidR="00400752">
        <w:rPr>
          <w:rFonts w:eastAsia="Times New Roman" w:cs="Times New Roman"/>
        </w:rPr>
        <w:t xml:space="preserve">It is the responsibility of the Department’s </w:t>
      </w:r>
      <w:r w:rsidR="001A0E82">
        <w:rPr>
          <w:rFonts w:eastAsia="Times New Roman" w:cs="Times New Roman"/>
        </w:rPr>
        <w:t>NTL</w:t>
      </w:r>
      <w:r w:rsidR="00400752">
        <w:rPr>
          <w:rFonts w:eastAsia="Times New Roman" w:cs="Times New Roman"/>
        </w:rPr>
        <w:t xml:space="preserve"> Faculty Promotion Committee to provide advice and feedback to candidates on their draft Promotion Dossiers, including the personal statement and the list of internal (if appropriate) and external referees from whom evaluation letters will be requested.</w:t>
      </w:r>
    </w:p>
    <w:p w14:paraId="326A2782" w14:textId="065C19E9" w:rsidR="008E7F8E" w:rsidRPr="003B21D6" w:rsidRDefault="004347D5" w:rsidP="000F081B">
      <w:pPr>
        <w:pStyle w:val="ListParagraph"/>
        <w:numPr>
          <w:ilvl w:val="0"/>
          <w:numId w:val="8"/>
        </w:numPr>
        <w:ind w:left="720"/>
        <w:jc w:val="both"/>
        <w:rPr>
          <w:rFonts w:eastAsia="Times New Roman" w:cs="Times New Roman"/>
        </w:rPr>
      </w:pPr>
      <w:r w:rsidRPr="003B21D6">
        <w:rPr>
          <w:rFonts w:eastAsia="Times New Roman" w:cs="Times New Roman"/>
          <w:b/>
        </w:rPr>
        <w:t>1 October</w:t>
      </w:r>
      <w:r w:rsidR="000E289B" w:rsidRPr="003B21D6">
        <w:rPr>
          <w:rFonts w:eastAsia="Times New Roman" w:cs="Times New Roman"/>
        </w:rPr>
        <w:t xml:space="preserve">: </w:t>
      </w:r>
      <w:r w:rsidR="003B21D6">
        <w:rPr>
          <w:rFonts w:eastAsia="Times New Roman" w:cs="Times New Roman"/>
        </w:rPr>
        <w:t xml:space="preserve">deadline </w:t>
      </w:r>
      <w:r w:rsidR="00EA31BC">
        <w:rPr>
          <w:rFonts w:eastAsia="Times New Roman" w:cs="Times New Roman"/>
        </w:rPr>
        <w:t xml:space="preserve">for candidates </w:t>
      </w:r>
      <w:r w:rsidR="003B21D6">
        <w:rPr>
          <w:rFonts w:eastAsia="Times New Roman" w:cs="Times New Roman"/>
        </w:rPr>
        <w:t>to p</w:t>
      </w:r>
      <w:r w:rsidR="00725F87" w:rsidRPr="003B21D6">
        <w:rPr>
          <w:rFonts w:eastAsia="Times New Roman" w:cs="Times New Roman"/>
        </w:rPr>
        <w:t>rovide a complete</w:t>
      </w:r>
      <w:r w:rsidR="003B21D6">
        <w:rPr>
          <w:rFonts w:eastAsia="Times New Roman" w:cs="Times New Roman"/>
        </w:rPr>
        <w:t xml:space="preserve"> Promotion D</w:t>
      </w:r>
      <w:r w:rsidRPr="003B21D6">
        <w:rPr>
          <w:rFonts w:eastAsia="Times New Roman" w:cs="Times New Roman"/>
        </w:rPr>
        <w:t>ossier</w:t>
      </w:r>
      <w:r w:rsidR="00725F87" w:rsidRPr="003B21D6">
        <w:rPr>
          <w:rFonts w:eastAsia="Times New Roman" w:cs="Times New Roman"/>
        </w:rPr>
        <w:t xml:space="preserve"> to the </w:t>
      </w:r>
      <w:r w:rsidR="00B90036">
        <w:rPr>
          <w:rFonts w:eastAsia="Times New Roman" w:cs="Times New Roman"/>
        </w:rPr>
        <w:t xml:space="preserve">Department’s </w:t>
      </w:r>
      <w:r w:rsidR="001A0E82">
        <w:rPr>
          <w:rFonts w:eastAsia="Times New Roman" w:cs="Times New Roman"/>
        </w:rPr>
        <w:t>NTL</w:t>
      </w:r>
      <w:r w:rsidR="008E7F8E" w:rsidRPr="003B21D6">
        <w:rPr>
          <w:rFonts w:eastAsia="Times New Roman" w:cs="Times New Roman"/>
        </w:rPr>
        <w:t xml:space="preserve"> Faculty Promotion Committee and </w:t>
      </w:r>
      <w:r w:rsidR="003B21D6">
        <w:rPr>
          <w:rFonts w:eastAsia="Times New Roman" w:cs="Times New Roman"/>
        </w:rPr>
        <w:t xml:space="preserve">the </w:t>
      </w:r>
      <w:r w:rsidR="008E7F8E" w:rsidRPr="003B21D6">
        <w:rPr>
          <w:rFonts w:eastAsia="Times New Roman" w:cs="Times New Roman"/>
        </w:rPr>
        <w:t>Department Head, including a list of</w:t>
      </w:r>
      <w:r w:rsidR="003B21D6">
        <w:rPr>
          <w:rFonts w:eastAsia="Times New Roman" w:cs="Times New Roman"/>
        </w:rPr>
        <w:t xml:space="preserve"> candidate</w:t>
      </w:r>
      <w:r w:rsidR="008E7F8E" w:rsidRPr="003B21D6">
        <w:rPr>
          <w:rFonts w:eastAsia="Times New Roman" w:cs="Times New Roman"/>
        </w:rPr>
        <w:t xml:space="preserve"> referees from whom </w:t>
      </w:r>
      <w:r w:rsidR="00EA31BC">
        <w:rPr>
          <w:rFonts w:eastAsia="Times New Roman" w:cs="Times New Roman"/>
        </w:rPr>
        <w:t xml:space="preserve">internal (if appropriate) and </w:t>
      </w:r>
      <w:r w:rsidR="008E7F8E" w:rsidRPr="003B21D6">
        <w:rPr>
          <w:rFonts w:eastAsia="Times New Roman" w:cs="Times New Roman"/>
        </w:rPr>
        <w:t>external evaluation letters</w:t>
      </w:r>
      <w:r w:rsidR="003B21D6">
        <w:rPr>
          <w:rFonts w:eastAsia="Times New Roman" w:cs="Times New Roman"/>
        </w:rPr>
        <w:t xml:space="preserve"> will be requested</w:t>
      </w:r>
      <w:r w:rsidR="008E7F8E" w:rsidRPr="003B21D6">
        <w:rPr>
          <w:rFonts w:eastAsia="Times New Roman" w:cs="Times New Roman"/>
        </w:rPr>
        <w:t xml:space="preserve">.  </w:t>
      </w:r>
    </w:p>
    <w:p w14:paraId="2D7A7ABF" w14:textId="41CEBDA8" w:rsidR="008E7F8E" w:rsidRPr="003B21D6" w:rsidRDefault="003E749F" w:rsidP="000F081B">
      <w:pPr>
        <w:pStyle w:val="ListParagraph"/>
        <w:numPr>
          <w:ilvl w:val="0"/>
          <w:numId w:val="8"/>
        </w:numPr>
        <w:ind w:left="720"/>
        <w:jc w:val="both"/>
        <w:rPr>
          <w:rFonts w:eastAsia="Times New Roman" w:cs="Times New Roman"/>
        </w:rPr>
      </w:pPr>
      <w:r w:rsidRPr="003B21D6">
        <w:rPr>
          <w:rFonts w:eastAsia="Times New Roman" w:cs="Times New Roman"/>
          <w:b/>
        </w:rPr>
        <w:t>20</w:t>
      </w:r>
      <w:r w:rsidR="008E7F8E" w:rsidRPr="003B21D6">
        <w:rPr>
          <w:rFonts w:eastAsia="Times New Roman" w:cs="Times New Roman"/>
          <w:b/>
        </w:rPr>
        <w:t xml:space="preserve"> December</w:t>
      </w:r>
      <w:r w:rsidR="000E289B" w:rsidRPr="003B21D6">
        <w:rPr>
          <w:rFonts w:eastAsia="Times New Roman" w:cs="Times New Roman"/>
        </w:rPr>
        <w:t>:</w:t>
      </w:r>
      <w:r w:rsidR="003B21D6">
        <w:rPr>
          <w:rFonts w:eastAsia="Times New Roman" w:cs="Times New Roman"/>
        </w:rPr>
        <w:t xml:space="preserve"> deadline for</w:t>
      </w:r>
      <w:r w:rsidR="000D1B93" w:rsidRPr="003B21D6">
        <w:rPr>
          <w:rFonts w:eastAsia="Times New Roman" w:cs="Times New Roman"/>
        </w:rPr>
        <w:t xml:space="preserve"> the Department Head </w:t>
      </w:r>
      <w:r w:rsidR="003B21D6">
        <w:rPr>
          <w:rFonts w:eastAsia="Times New Roman" w:cs="Times New Roman"/>
        </w:rPr>
        <w:t xml:space="preserve">to </w:t>
      </w:r>
      <w:r w:rsidR="000D1B93" w:rsidRPr="003B21D6">
        <w:rPr>
          <w:rFonts w:eastAsia="Times New Roman" w:cs="Times New Roman"/>
        </w:rPr>
        <w:t>s</w:t>
      </w:r>
      <w:r w:rsidR="008E7F8E" w:rsidRPr="003B21D6">
        <w:rPr>
          <w:rFonts w:eastAsia="Times New Roman" w:cs="Times New Roman"/>
        </w:rPr>
        <w:t>ubmit the co</w:t>
      </w:r>
      <w:r w:rsidR="003B21D6">
        <w:rPr>
          <w:rFonts w:eastAsia="Times New Roman" w:cs="Times New Roman"/>
        </w:rPr>
        <w:t>mpleted Promotion D</w:t>
      </w:r>
      <w:r w:rsidR="000D1B93" w:rsidRPr="003B21D6">
        <w:rPr>
          <w:rFonts w:eastAsia="Times New Roman" w:cs="Times New Roman"/>
        </w:rPr>
        <w:t>ossier and other necessary</w:t>
      </w:r>
      <w:r w:rsidR="008E7F8E" w:rsidRPr="003B21D6">
        <w:rPr>
          <w:rFonts w:eastAsia="Times New Roman" w:cs="Times New Roman"/>
        </w:rPr>
        <w:t xml:space="preserve"> documents to the Dean of the College for consideration.  Candidates are typically notified of the outcome of the promotion review by the end of May in the following year.</w:t>
      </w:r>
    </w:p>
    <w:p w14:paraId="53A9CD72" w14:textId="77777777" w:rsidR="004F2EE3" w:rsidRPr="003E749F" w:rsidRDefault="004F2EE3" w:rsidP="000F081B">
      <w:pPr>
        <w:jc w:val="both"/>
      </w:pPr>
    </w:p>
    <w:sectPr w:rsidR="004F2EE3" w:rsidRPr="003E749F" w:rsidSect="00B05862">
      <w:headerReference w:type="even" r:id="rId18"/>
      <w:footerReference w:type="even"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A2D8" w14:textId="77777777" w:rsidR="004C1CCF" w:rsidRDefault="004C1CCF" w:rsidP="003E749F">
      <w:r>
        <w:separator/>
      </w:r>
    </w:p>
  </w:endnote>
  <w:endnote w:type="continuationSeparator" w:id="0">
    <w:p w14:paraId="50CF8226" w14:textId="77777777" w:rsidR="004C1CCF" w:rsidRDefault="004C1CCF" w:rsidP="003E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1C8F" w14:textId="77777777" w:rsidR="003E749F" w:rsidRDefault="003E749F" w:rsidP="00605B6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FEF0C" w14:textId="77777777" w:rsidR="003E749F" w:rsidRDefault="003E7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007108"/>
      <w:docPartObj>
        <w:docPartGallery w:val="Page Numbers (Bottom of Page)"/>
        <w:docPartUnique/>
      </w:docPartObj>
    </w:sdtPr>
    <w:sdtEndPr>
      <w:rPr>
        <w:noProof/>
      </w:rPr>
    </w:sdtEndPr>
    <w:sdtContent>
      <w:p w14:paraId="2CDF32C6" w14:textId="02E53E2E" w:rsidR="00134914" w:rsidRDefault="00134914">
        <w:pPr>
          <w:pStyle w:val="Footer"/>
          <w:jc w:val="center"/>
        </w:pPr>
        <w:r>
          <w:fldChar w:fldCharType="begin"/>
        </w:r>
        <w:r>
          <w:instrText xml:space="preserve"> PAGE   \* MERGEFORMAT </w:instrText>
        </w:r>
        <w:r>
          <w:fldChar w:fldCharType="separate"/>
        </w:r>
        <w:r w:rsidR="00A705B6">
          <w:rPr>
            <w:noProof/>
          </w:rPr>
          <w:t>4</w:t>
        </w:r>
        <w:r>
          <w:rPr>
            <w:noProof/>
          </w:rPr>
          <w:fldChar w:fldCharType="end"/>
        </w:r>
      </w:p>
    </w:sdtContent>
  </w:sdt>
  <w:p w14:paraId="7EB9D9F5" w14:textId="77777777" w:rsidR="003E749F" w:rsidRDefault="003E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3A2C" w14:textId="77777777" w:rsidR="004C1CCF" w:rsidRDefault="004C1CCF" w:rsidP="003E749F">
      <w:r>
        <w:separator/>
      </w:r>
    </w:p>
  </w:footnote>
  <w:footnote w:type="continuationSeparator" w:id="0">
    <w:p w14:paraId="112B3E76" w14:textId="77777777" w:rsidR="004C1CCF" w:rsidRDefault="004C1CCF" w:rsidP="003E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A585" w14:textId="77777777" w:rsidR="003E749F" w:rsidRDefault="003E749F" w:rsidP="00605B60">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9FA616" w14:textId="77777777" w:rsidR="003E749F" w:rsidRDefault="003E7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29FE"/>
    <w:multiLevelType w:val="hybridMultilevel"/>
    <w:tmpl w:val="5E56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5402"/>
    <w:multiLevelType w:val="hybridMultilevel"/>
    <w:tmpl w:val="45985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B5E89"/>
    <w:multiLevelType w:val="hybridMultilevel"/>
    <w:tmpl w:val="FD16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D45B2"/>
    <w:multiLevelType w:val="hybridMultilevel"/>
    <w:tmpl w:val="09B0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54BC6"/>
    <w:multiLevelType w:val="hybridMultilevel"/>
    <w:tmpl w:val="50B6B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B94CDB"/>
    <w:multiLevelType w:val="hybridMultilevel"/>
    <w:tmpl w:val="84B81076"/>
    <w:lvl w:ilvl="0" w:tplc="E47AB48C">
      <w:start w:val="1"/>
      <w:numFmt w:val="bullet"/>
      <w:lvlText w:val="•"/>
      <w:lvlJc w:val="left"/>
      <w:pPr>
        <w:tabs>
          <w:tab w:val="num" w:pos="720"/>
        </w:tabs>
        <w:ind w:left="720" w:hanging="360"/>
      </w:pPr>
      <w:rPr>
        <w:rFonts w:ascii="Arial" w:hAnsi="Arial" w:hint="default"/>
      </w:rPr>
    </w:lvl>
    <w:lvl w:ilvl="1" w:tplc="FEAA4AEC">
      <w:start w:val="105"/>
      <w:numFmt w:val="bullet"/>
      <w:lvlText w:val="–"/>
      <w:lvlJc w:val="left"/>
      <w:pPr>
        <w:tabs>
          <w:tab w:val="num" w:pos="1440"/>
        </w:tabs>
        <w:ind w:left="1440" w:hanging="360"/>
      </w:pPr>
      <w:rPr>
        <w:rFonts w:ascii="Arial" w:hAnsi="Arial" w:hint="default"/>
      </w:rPr>
    </w:lvl>
    <w:lvl w:ilvl="2" w:tplc="9ADC8156" w:tentative="1">
      <w:start w:val="1"/>
      <w:numFmt w:val="bullet"/>
      <w:lvlText w:val="•"/>
      <w:lvlJc w:val="left"/>
      <w:pPr>
        <w:tabs>
          <w:tab w:val="num" w:pos="2160"/>
        </w:tabs>
        <w:ind w:left="2160" w:hanging="360"/>
      </w:pPr>
      <w:rPr>
        <w:rFonts w:ascii="Arial" w:hAnsi="Arial" w:hint="default"/>
      </w:rPr>
    </w:lvl>
    <w:lvl w:ilvl="3" w:tplc="3DD6A152" w:tentative="1">
      <w:start w:val="1"/>
      <w:numFmt w:val="bullet"/>
      <w:lvlText w:val="•"/>
      <w:lvlJc w:val="left"/>
      <w:pPr>
        <w:tabs>
          <w:tab w:val="num" w:pos="2880"/>
        </w:tabs>
        <w:ind w:left="2880" w:hanging="360"/>
      </w:pPr>
      <w:rPr>
        <w:rFonts w:ascii="Arial" w:hAnsi="Arial" w:hint="default"/>
      </w:rPr>
    </w:lvl>
    <w:lvl w:ilvl="4" w:tplc="31C2621C" w:tentative="1">
      <w:start w:val="1"/>
      <w:numFmt w:val="bullet"/>
      <w:lvlText w:val="•"/>
      <w:lvlJc w:val="left"/>
      <w:pPr>
        <w:tabs>
          <w:tab w:val="num" w:pos="3600"/>
        </w:tabs>
        <w:ind w:left="3600" w:hanging="360"/>
      </w:pPr>
      <w:rPr>
        <w:rFonts w:ascii="Arial" w:hAnsi="Arial" w:hint="default"/>
      </w:rPr>
    </w:lvl>
    <w:lvl w:ilvl="5" w:tplc="2ED641C2" w:tentative="1">
      <w:start w:val="1"/>
      <w:numFmt w:val="bullet"/>
      <w:lvlText w:val="•"/>
      <w:lvlJc w:val="left"/>
      <w:pPr>
        <w:tabs>
          <w:tab w:val="num" w:pos="4320"/>
        </w:tabs>
        <w:ind w:left="4320" w:hanging="360"/>
      </w:pPr>
      <w:rPr>
        <w:rFonts w:ascii="Arial" w:hAnsi="Arial" w:hint="default"/>
      </w:rPr>
    </w:lvl>
    <w:lvl w:ilvl="6" w:tplc="F95871E2" w:tentative="1">
      <w:start w:val="1"/>
      <w:numFmt w:val="bullet"/>
      <w:lvlText w:val="•"/>
      <w:lvlJc w:val="left"/>
      <w:pPr>
        <w:tabs>
          <w:tab w:val="num" w:pos="5040"/>
        </w:tabs>
        <w:ind w:left="5040" w:hanging="360"/>
      </w:pPr>
      <w:rPr>
        <w:rFonts w:ascii="Arial" w:hAnsi="Arial" w:hint="default"/>
      </w:rPr>
    </w:lvl>
    <w:lvl w:ilvl="7" w:tplc="43E2AC00" w:tentative="1">
      <w:start w:val="1"/>
      <w:numFmt w:val="bullet"/>
      <w:lvlText w:val="•"/>
      <w:lvlJc w:val="left"/>
      <w:pPr>
        <w:tabs>
          <w:tab w:val="num" w:pos="5760"/>
        </w:tabs>
        <w:ind w:left="5760" w:hanging="360"/>
      </w:pPr>
      <w:rPr>
        <w:rFonts w:ascii="Arial" w:hAnsi="Arial" w:hint="default"/>
      </w:rPr>
    </w:lvl>
    <w:lvl w:ilvl="8" w:tplc="FBE410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93603B"/>
    <w:multiLevelType w:val="hybridMultilevel"/>
    <w:tmpl w:val="EDEC35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54574BB8"/>
    <w:multiLevelType w:val="hybridMultilevel"/>
    <w:tmpl w:val="1BB2D5EA"/>
    <w:lvl w:ilvl="0" w:tplc="0C14CF66">
      <w:start w:val="1"/>
      <w:numFmt w:val="bullet"/>
      <w:lvlText w:val="•"/>
      <w:lvlJc w:val="left"/>
      <w:pPr>
        <w:tabs>
          <w:tab w:val="num" w:pos="720"/>
        </w:tabs>
        <w:ind w:left="720" w:hanging="360"/>
      </w:pPr>
      <w:rPr>
        <w:rFonts w:ascii="Arial" w:hAnsi="Arial" w:hint="default"/>
      </w:rPr>
    </w:lvl>
    <w:lvl w:ilvl="1" w:tplc="08F86F18">
      <w:start w:val="1"/>
      <w:numFmt w:val="decimal"/>
      <w:lvlText w:val="%2."/>
      <w:lvlJc w:val="left"/>
      <w:pPr>
        <w:tabs>
          <w:tab w:val="num" w:pos="1440"/>
        </w:tabs>
        <w:ind w:left="1440" w:hanging="360"/>
      </w:pPr>
    </w:lvl>
    <w:lvl w:ilvl="2" w:tplc="899A390C" w:tentative="1">
      <w:start w:val="1"/>
      <w:numFmt w:val="bullet"/>
      <w:lvlText w:val="•"/>
      <w:lvlJc w:val="left"/>
      <w:pPr>
        <w:tabs>
          <w:tab w:val="num" w:pos="2160"/>
        </w:tabs>
        <w:ind w:left="2160" w:hanging="360"/>
      </w:pPr>
      <w:rPr>
        <w:rFonts w:ascii="Arial" w:hAnsi="Arial" w:hint="default"/>
      </w:rPr>
    </w:lvl>
    <w:lvl w:ilvl="3" w:tplc="11507E24" w:tentative="1">
      <w:start w:val="1"/>
      <w:numFmt w:val="bullet"/>
      <w:lvlText w:val="•"/>
      <w:lvlJc w:val="left"/>
      <w:pPr>
        <w:tabs>
          <w:tab w:val="num" w:pos="2880"/>
        </w:tabs>
        <w:ind w:left="2880" w:hanging="360"/>
      </w:pPr>
      <w:rPr>
        <w:rFonts w:ascii="Arial" w:hAnsi="Arial" w:hint="default"/>
      </w:rPr>
    </w:lvl>
    <w:lvl w:ilvl="4" w:tplc="92600B78" w:tentative="1">
      <w:start w:val="1"/>
      <w:numFmt w:val="bullet"/>
      <w:lvlText w:val="•"/>
      <w:lvlJc w:val="left"/>
      <w:pPr>
        <w:tabs>
          <w:tab w:val="num" w:pos="3600"/>
        </w:tabs>
        <w:ind w:left="3600" w:hanging="360"/>
      </w:pPr>
      <w:rPr>
        <w:rFonts w:ascii="Arial" w:hAnsi="Arial" w:hint="default"/>
      </w:rPr>
    </w:lvl>
    <w:lvl w:ilvl="5" w:tplc="6DA8602C" w:tentative="1">
      <w:start w:val="1"/>
      <w:numFmt w:val="bullet"/>
      <w:lvlText w:val="•"/>
      <w:lvlJc w:val="left"/>
      <w:pPr>
        <w:tabs>
          <w:tab w:val="num" w:pos="4320"/>
        </w:tabs>
        <w:ind w:left="4320" w:hanging="360"/>
      </w:pPr>
      <w:rPr>
        <w:rFonts w:ascii="Arial" w:hAnsi="Arial" w:hint="default"/>
      </w:rPr>
    </w:lvl>
    <w:lvl w:ilvl="6" w:tplc="1180DECE" w:tentative="1">
      <w:start w:val="1"/>
      <w:numFmt w:val="bullet"/>
      <w:lvlText w:val="•"/>
      <w:lvlJc w:val="left"/>
      <w:pPr>
        <w:tabs>
          <w:tab w:val="num" w:pos="5040"/>
        </w:tabs>
        <w:ind w:left="5040" w:hanging="360"/>
      </w:pPr>
      <w:rPr>
        <w:rFonts w:ascii="Arial" w:hAnsi="Arial" w:hint="default"/>
      </w:rPr>
    </w:lvl>
    <w:lvl w:ilvl="7" w:tplc="17D00872" w:tentative="1">
      <w:start w:val="1"/>
      <w:numFmt w:val="bullet"/>
      <w:lvlText w:val="•"/>
      <w:lvlJc w:val="left"/>
      <w:pPr>
        <w:tabs>
          <w:tab w:val="num" w:pos="5760"/>
        </w:tabs>
        <w:ind w:left="5760" w:hanging="360"/>
      </w:pPr>
      <w:rPr>
        <w:rFonts w:ascii="Arial" w:hAnsi="Arial" w:hint="default"/>
      </w:rPr>
    </w:lvl>
    <w:lvl w:ilvl="8" w:tplc="6570EFDC" w:tentative="1">
      <w:start w:val="1"/>
      <w:numFmt w:val="bullet"/>
      <w:lvlText w:val="•"/>
      <w:lvlJc w:val="left"/>
      <w:pPr>
        <w:tabs>
          <w:tab w:val="num" w:pos="6480"/>
        </w:tabs>
        <w:ind w:left="6480" w:hanging="360"/>
      </w:pPr>
      <w:rPr>
        <w:rFonts w:ascii="Arial" w:hAnsi="Arial" w:hint="default"/>
      </w:rPr>
    </w:lvl>
  </w:abstractNum>
  <w:num w:numId="1" w16cid:durableId="934748923">
    <w:abstractNumId w:val="2"/>
  </w:num>
  <w:num w:numId="2" w16cid:durableId="576744395">
    <w:abstractNumId w:val="3"/>
  </w:num>
  <w:num w:numId="3" w16cid:durableId="676663272">
    <w:abstractNumId w:val="7"/>
  </w:num>
  <w:num w:numId="4" w16cid:durableId="2048288555">
    <w:abstractNumId w:val="5"/>
  </w:num>
  <w:num w:numId="5" w16cid:durableId="1432049011">
    <w:abstractNumId w:val="4"/>
  </w:num>
  <w:num w:numId="6" w16cid:durableId="1675185801">
    <w:abstractNumId w:val="1"/>
  </w:num>
  <w:num w:numId="7" w16cid:durableId="869605368">
    <w:abstractNumId w:val="0"/>
  </w:num>
  <w:num w:numId="8" w16cid:durableId="1416393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9B"/>
    <w:rsid w:val="00012BB9"/>
    <w:rsid w:val="000243C8"/>
    <w:rsid w:val="0004005F"/>
    <w:rsid w:val="00046056"/>
    <w:rsid w:val="00054520"/>
    <w:rsid w:val="00073A54"/>
    <w:rsid w:val="000961C3"/>
    <w:rsid w:val="000A507E"/>
    <w:rsid w:val="000B5228"/>
    <w:rsid w:val="000D1B93"/>
    <w:rsid w:val="000E289B"/>
    <w:rsid w:val="000E392D"/>
    <w:rsid w:val="000F081B"/>
    <w:rsid w:val="00111158"/>
    <w:rsid w:val="0012789B"/>
    <w:rsid w:val="00134914"/>
    <w:rsid w:val="001374EA"/>
    <w:rsid w:val="00140C12"/>
    <w:rsid w:val="00142FCF"/>
    <w:rsid w:val="00164EDD"/>
    <w:rsid w:val="00182BA2"/>
    <w:rsid w:val="0019338D"/>
    <w:rsid w:val="00197CDC"/>
    <w:rsid w:val="001A0E82"/>
    <w:rsid w:val="001B0F62"/>
    <w:rsid w:val="001F7678"/>
    <w:rsid w:val="00211D07"/>
    <w:rsid w:val="00214A7F"/>
    <w:rsid w:val="00220BE2"/>
    <w:rsid w:val="00245A43"/>
    <w:rsid w:val="002674C1"/>
    <w:rsid w:val="00274902"/>
    <w:rsid w:val="00277766"/>
    <w:rsid w:val="00277E5B"/>
    <w:rsid w:val="00282BEB"/>
    <w:rsid w:val="002A2A41"/>
    <w:rsid w:val="002C4D39"/>
    <w:rsid w:val="002D0DA3"/>
    <w:rsid w:val="002F16E5"/>
    <w:rsid w:val="002F2D3B"/>
    <w:rsid w:val="00327133"/>
    <w:rsid w:val="003276BA"/>
    <w:rsid w:val="00334732"/>
    <w:rsid w:val="00344082"/>
    <w:rsid w:val="00394D99"/>
    <w:rsid w:val="003B1CFC"/>
    <w:rsid w:val="003B21D6"/>
    <w:rsid w:val="003B334F"/>
    <w:rsid w:val="003E0E70"/>
    <w:rsid w:val="003E31D9"/>
    <w:rsid w:val="003E749F"/>
    <w:rsid w:val="00400752"/>
    <w:rsid w:val="00402022"/>
    <w:rsid w:val="00403F8A"/>
    <w:rsid w:val="00405D54"/>
    <w:rsid w:val="00416B47"/>
    <w:rsid w:val="00427FA9"/>
    <w:rsid w:val="004347D5"/>
    <w:rsid w:val="0045179A"/>
    <w:rsid w:val="00464486"/>
    <w:rsid w:val="00484ED6"/>
    <w:rsid w:val="004A22E5"/>
    <w:rsid w:val="004C1CCF"/>
    <w:rsid w:val="004D0B6D"/>
    <w:rsid w:val="004E0352"/>
    <w:rsid w:val="004E0B41"/>
    <w:rsid w:val="004F2EE3"/>
    <w:rsid w:val="00501099"/>
    <w:rsid w:val="00503594"/>
    <w:rsid w:val="00515887"/>
    <w:rsid w:val="00517E27"/>
    <w:rsid w:val="0052180D"/>
    <w:rsid w:val="0052591B"/>
    <w:rsid w:val="005304E2"/>
    <w:rsid w:val="00531750"/>
    <w:rsid w:val="005338B7"/>
    <w:rsid w:val="005440CB"/>
    <w:rsid w:val="005552D1"/>
    <w:rsid w:val="00563F78"/>
    <w:rsid w:val="00564C70"/>
    <w:rsid w:val="00585F68"/>
    <w:rsid w:val="005A0E3C"/>
    <w:rsid w:val="005A53E9"/>
    <w:rsid w:val="005B2568"/>
    <w:rsid w:val="005C180C"/>
    <w:rsid w:val="005C3B82"/>
    <w:rsid w:val="005D0A0D"/>
    <w:rsid w:val="005D2A77"/>
    <w:rsid w:val="005E397C"/>
    <w:rsid w:val="005F1E9C"/>
    <w:rsid w:val="005F6532"/>
    <w:rsid w:val="00603583"/>
    <w:rsid w:val="00605339"/>
    <w:rsid w:val="00610635"/>
    <w:rsid w:val="00624FCD"/>
    <w:rsid w:val="0065150F"/>
    <w:rsid w:val="00654F9D"/>
    <w:rsid w:val="00656700"/>
    <w:rsid w:val="006A699A"/>
    <w:rsid w:val="006B586E"/>
    <w:rsid w:val="006B7E15"/>
    <w:rsid w:val="006D18A8"/>
    <w:rsid w:val="006D38D0"/>
    <w:rsid w:val="006D7D99"/>
    <w:rsid w:val="006E0F94"/>
    <w:rsid w:val="006E32C8"/>
    <w:rsid w:val="007068CA"/>
    <w:rsid w:val="00720A8A"/>
    <w:rsid w:val="00725F5E"/>
    <w:rsid w:val="00725F87"/>
    <w:rsid w:val="00730219"/>
    <w:rsid w:val="00730708"/>
    <w:rsid w:val="00756106"/>
    <w:rsid w:val="00763F6D"/>
    <w:rsid w:val="007932C6"/>
    <w:rsid w:val="007B0A3A"/>
    <w:rsid w:val="007E070C"/>
    <w:rsid w:val="007F56AA"/>
    <w:rsid w:val="007F67AE"/>
    <w:rsid w:val="0081257C"/>
    <w:rsid w:val="00817D85"/>
    <w:rsid w:val="00827D49"/>
    <w:rsid w:val="00832C3A"/>
    <w:rsid w:val="00835CBB"/>
    <w:rsid w:val="00840A63"/>
    <w:rsid w:val="00845E8B"/>
    <w:rsid w:val="00864629"/>
    <w:rsid w:val="008701E2"/>
    <w:rsid w:val="00874085"/>
    <w:rsid w:val="00876D3F"/>
    <w:rsid w:val="008B2E66"/>
    <w:rsid w:val="008B4B4E"/>
    <w:rsid w:val="008E7F8E"/>
    <w:rsid w:val="008F2076"/>
    <w:rsid w:val="00921B29"/>
    <w:rsid w:val="00954ABE"/>
    <w:rsid w:val="00962F14"/>
    <w:rsid w:val="0096790F"/>
    <w:rsid w:val="009702DD"/>
    <w:rsid w:val="00971AE9"/>
    <w:rsid w:val="00975D19"/>
    <w:rsid w:val="00985FD6"/>
    <w:rsid w:val="009B344E"/>
    <w:rsid w:val="009E49EC"/>
    <w:rsid w:val="00A1300C"/>
    <w:rsid w:val="00A3675C"/>
    <w:rsid w:val="00A378CC"/>
    <w:rsid w:val="00A705B6"/>
    <w:rsid w:val="00A937D4"/>
    <w:rsid w:val="00AB14A8"/>
    <w:rsid w:val="00AB5BC2"/>
    <w:rsid w:val="00AD1710"/>
    <w:rsid w:val="00AE0143"/>
    <w:rsid w:val="00B04978"/>
    <w:rsid w:val="00B05862"/>
    <w:rsid w:val="00B35C52"/>
    <w:rsid w:val="00B46A5B"/>
    <w:rsid w:val="00B5032A"/>
    <w:rsid w:val="00B53E10"/>
    <w:rsid w:val="00B53F66"/>
    <w:rsid w:val="00B73DBF"/>
    <w:rsid w:val="00B828A7"/>
    <w:rsid w:val="00B90036"/>
    <w:rsid w:val="00B9322B"/>
    <w:rsid w:val="00BB3771"/>
    <w:rsid w:val="00BC4882"/>
    <w:rsid w:val="00BD7BEA"/>
    <w:rsid w:val="00BE5F3B"/>
    <w:rsid w:val="00BF090D"/>
    <w:rsid w:val="00BF7BD9"/>
    <w:rsid w:val="00C22985"/>
    <w:rsid w:val="00C25F9B"/>
    <w:rsid w:val="00C32535"/>
    <w:rsid w:val="00C41F18"/>
    <w:rsid w:val="00C53051"/>
    <w:rsid w:val="00C73C63"/>
    <w:rsid w:val="00C80CF9"/>
    <w:rsid w:val="00C81EF2"/>
    <w:rsid w:val="00CB4E65"/>
    <w:rsid w:val="00CC2BA5"/>
    <w:rsid w:val="00CD6003"/>
    <w:rsid w:val="00CE59AB"/>
    <w:rsid w:val="00CE79DB"/>
    <w:rsid w:val="00CF3F9E"/>
    <w:rsid w:val="00D07E38"/>
    <w:rsid w:val="00D24743"/>
    <w:rsid w:val="00D33CCA"/>
    <w:rsid w:val="00D45A1C"/>
    <w:rsid w:val="00D7581C"/>
    <w:rsid w:val="00D8039F"/>
    <w:rsid w:val="00D90AE7"/>
    <w:rsid w:val="00D916E6"/>
    <w:rsid w:val="00D92835"/>
    <w:rsid w:val="00D9697D"/>
    <w:rsid w:val="00DA0C71"/>
    <w:rsid w:val="00DA333F"/>
    <w:rsid w:val="00DA5034"/>
    <w:rsid w:val="00DA7723"/>
    <w:rsid w:val="00DB29CF"/>
    <w:rsid w:val="00DB33F9"/>
    <w:rsid w:val="00DB50FD"/>
    <w:rsid w:val="00DD0706"/>
    <w:rsid w:val="00E06A01"/>
    <w:rsid w:val="00E07372"/>
    <w:rsid w:val="00E22FC8"/>
    <w:rsid w:val="00E313D8"/>
    <w:rsid w:val="00E33E33"/>
    <w:rsid w:val="00E6780B"/>
    <w:rsid w:val="00E6791E"/>
    <w:rsid w:val="00EA31BC"/>
    <w:rsid w:val="00EC435C"/>
    <w:rsid w:val="00EC68EA"/>
    <w:rsid w:val="00ED4DFF"/>
    <w:rsid w:val="00ED77F0"/>
    <w:rsid w:val="00EE1E65"/>
    <w:rsid w:val="00F11C84"/>
    <w:rsid w:val="00F27A20"/>
    <w:rsid w:val="00F52CB0"/>
    <w:rsid w:val="00F56CB6"/>
    <w:rsid w:val="00F643C0"/>
    <w:rsid w:val="00F65DEC"/>
    <w:rsid w:val="00F77265"/>
    <w:rsid w:val="00F83595"/>
    <w:rsid w:val="00F84905"/>
    <w:rsid w:val="00F86545"/>
    <w:rsid w:val="00F92010"/>
    <w:rsid w:val="00F932FE"/>
    <w:rsid w:val="00FA5B53"/>
    <w:rsid w:val="00FB1A2F"/>
    <w:rsid w:val="00FE0F30"/>
    <w:rsid w:val="00FF120C"/>
    <w:rsid w:val="00FF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9C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71"/>
    <w:pPr>
      <w:ind w:left="720"/>
      <w:contextualSpacing/>
    </w:pPr>
  </w:style>
  <w:style w:type="paragraph" w:styleId="Header">
    <w:name w:val="header"/>
    <w:basedOn w:val="Normal"/>
    <w:link w:val="HeaderChar"/>
    <w:uiPriority w:val="99"/>
    <w:unhideWhenUsed/>
    <w:rsid w:val="003E749F"/>
    <w:pPr>
      <w:tabs>
        <w:tab w:val="center" w:pos="4680"/>
        <w:tab w:val="right" w:pos="9360"/>
      </w:tabs>
    </w:pPr>
  </w:style>
  <w:style w:type="character" w:customStyle="1" w:styleId="HeaderChar">
    <w:name w:val="Header Char"/>
    <w:basedOn w:val="DefaultParagraphFont"/>
    <w:link w:val="Header"/>
    <w:uiPriority w:val="99"/>
    <w:rsid w:val="003E749F"/>
  </w:style>
  <w:style w:type="paragraph" w:styleId="Footer">
    <w:name w:val="footer"/>
    <w:basedOn w:val="Normal"/>
    <w:link w:val="FooterChar"/>
    <w:uiPriority w:val="99"/>
    <w:unhideWhenUsed/>
    <w:rsid w:val="003E749F"/>
    <w:pPr>
      <w:tabs>
        <w:tab w:val="center" w:pos="4680"/>
        <w:tab w:val="right" w:pos="9360"/>
      </w:tabs>
    </w:pPr>
  </w:style>
  <w:style w:type="character" w:customStyle="1" w:styleId="FooterChar">
    <w:name w:val="Footer Char"/>
    <w:basedOn w:val="DefaultParagraphFont"/>
    <w:link w:val="Footer"/>
    <w:uiPriority w:val="99"/>
    <w:rsid w:val="003E749F"/>
  </w:style>
  <w:style w:type="character" w:styleId="PageNumber">
    <w:name w:val="page number"/>
    <w:basedOn w:val="DefaultParagraphFont"/>
    <w:uiPriority w:val="99"/>
    <w:semiHidden/>
    <w:unhideWhenUsed/>
    <w:rsid w:val="003E749F"/>
  </w:style>
  <w:style w:type="paragraph" w:styleId="BalloonText">
    <w:name w:val="Balloon Text"/>
    <w:basedOn w:val="Normal"/>
    <w:link w:val="BalloonTextChar"/>
    <w:uiPriority w:val="99"/>
    <w:semiHidden/>
    <w:unhideWhenUsed/>
    <w:rsid w:val="003E0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70"/>
    <w:rPr>
      <w:rFonts w:ascii="Segoe UI" w:hAnsi="Segoe UI" w:cs="Segoe UI"/>
      <w:sz w:val="18"/>
      <w:szCs w:val="18"/>
    </w:rPr>
  </w:style>
  <w:style w:type="character" w:styleId="Hyperlink">
    <w:name w:val="Hyperlink"/>
    <w:basedOn w:val="DefaultParagraphFont"/>
    <w:uiPriority w:val="99"/>
    <w:unhideWhenUsed/>
    <w:rsid w:val="00FA5B53"/>
    <w:rPr>
      <w:color w:val="0563C1" w:themeColor="hyperlink"/>
      <w:u w:val="single"/>
    </w:rPr>
  </w:style>
  <w:style w:type="character" w:styleId="CommentReference">
    <w:name w:val="annotation reference"/>
    <w:basedOn w:val="DefaultParagraphFont"/>
    <w:uiPriority w:val="99"/>
    <w:semiHidden/>
    <w:unhideWhenUsed/>
    <w:rsid w:val="00F643C0"/>
    <w:rPr>
      <w:sz w:val="16"/>
      <w:szCs w:val="16"/>
    </w:rPr>
  </w:style>
  <w:style w:type="paragraph" w:styleId="CommentText">
    <w:name w:val="annotation text"/>
    <w:basedOn w:val="Normal"/>
    <w:link w:val="CommentTextChar"/>
    <w:uiPriority w:val="99"/>
    <w:semiHidden/>
    <w:unhideWhenUsed/>
    <w:rsid w:val="00F643C0"/>
    <w:rPr>
      <w:sz w:val="20"/>
      <w:szCs w:val="20"/>
    </w:rPr>
  </w:style>
  <w:style w:type="character" w:customStyle="1" w:styleId="CommentTextChar">
    <w:name w:val="Comment Text Char"/>
    <w:basedOn w:val="DefaultParagraphFont"/>
    <w:link w:val="CommentText"/>
    <w:uiPriority w:val="99"/>
    <w:semiHidden/>
    <w:rsid w:val="00F643C0"/>
    <w:rPr>
      <w:sz w:val="20"/>
      <w:szCs w:val="20"/>
    </w:rPr>
  </w:style>
  <w:style w:type="paragraph" w:styleId="CommentSubject">
    <w:name w:val="annotation subject"/>
    <w:basedOn w:val="CommentText"/>
    <w:next w:val="CommentText"/>
    <w:link w:val="CommentSubjectChar"/>
    <w:uiPriority w:val="99"/>
    <w:semiHidden/>
    <w:unhideWhenUsed/>
    <w:rsid w:val="00F643C0"/>
    <w:rPr>
      <w:b/>
      <w:bCs/>
    </w:rPr>
  </w:style>
  <w:style w:type="character" w:customStyle="1" w:styleId="CommentSubjectChar">
    <w:name w:val="Comment Subject Char"/>
    <w:basedOn w:val="CommentTextChar"/>
    <w:link w:val="CommentSubject"/>
    <w:uiPriority w:val="99"/>
    <w:semiHidden/>
    <w:rsid w:val="00F643C0"/>
    <w:rPr>
      <w:b/>
      <w:bCs/>
      <w:sz w:val="20"/>
      <w:szCs w:val="20"/>
    </w:rPr>
  </w:style>
  <w:style w:type="character" w:styleId="FollowedHyperlink">
    <w:name w:val="FollowedHyperlink"/>
    <w:basedOn w:val="DefaultParagraphFont"/>
    <w:uiPriority w:val="99"/>
    <w:semiHidden/>
    <w:unhideWhenUsed/>
    <w:rsid w:val="00400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31100">
      <w:bodyDiv w:val="1"/>
      <w:marLeft w:val="0"/>
      <w:marRight w:val="0"/>
      <w:marTop w:val="0"/>
      <w:marBottom w:val="0"/>
      <w:divBdr>
        <w:top w:val="none" w:sz="0" w:space="0" w:color="auto"/>
        <w:left w:val="none" w:sz="0" w:space="0" w:color="auto"/>
        <w:bottom w:val="none" w:sz="0" w:space="0" w:color="auto"/>
        <w:right w:val="none" w:sz="0" w:space="0" w:color="auto"/>
      </w:divBdr>
    </w:div>
    <w:div w:id="1809590100">
      <w:bodyDiv w:val="1"/>
      <w:marLeft w:val="0"/>
      <w:marRight w:val="0"/>
      <w:marTop w:val="0"/>
      <w:marBottom w:val="0"/>
      <w:divBdr>
        <w:top w:val="none" w:sz="0" w:space="0" w:color="auto"/>
        <w:left w:val="none" w:sz="0" w:space="0" w:color="auto"/>
        <w:bottom w:val="none" w:sz="0" w:space="0" w:color="auto"/>
        <w:right w:val="none" w:sz="0" w:space="0" w:color="auto"/>
      </w:divBdr>
      <w:divsChild>
        <w:div w:id="1386761375">
          <w:marLeft w:val="547"/>
          <w:marRight w:val="0"/>
          <w:marTop w:val="115"/>
          <w:marBottom w:val="0"/>
          <w:divBdr>
            <w:top w:val="none" w:sz="0" w:space="0" w:color="auto"/>
            <w:left w:val="none" w:sz="0" w:space="0" w:color="auto"/>
            <w:bottom w:val="none" w:sz="0" w:space="0" w:color="auto"/>
            <w:right w:val="none" w:sz="0" w:space="0" w:color="auto"/>
          </w:divBdr>
        </w:div>
        <w:div w:id="1955480048">
          <w:marLeft w:val="547"/>
          <w:marRight w:val="0"/>
          <w:marTop w:val="115"/>
          <w:marBottom w:val="0"/>
          <w:divBdr>
            <w:top w:val="none" w:sz="0" w:space="0" w:color="auto"/>
            <w:left w:val="none" w:sz="0" w:space="0" w:color="auto"/>
            <w:bottom w:val="none" w:sz="0" w:space="0" w:color="auto"/>
            <w:right w:val="none" w:sz="0" w:space="0" w:color="auto"/>
          </w:divBdr>
        </w:div>
        <w:div w:id="1371997907">
          <w:marLeft w:val="547"/>
          <w:marRight w:val="0"/>
          <w:marTop w:val="115"/>
          <w:marBottom w:val="0"/>
          <w:divBdr>
            <w:top w:val="none" w:sz="0" w:space="0" w:color="auto"/>
            <w:left w:val="none" w:sz="0" w:space="0" w:color="auto"/>
            <w:bottom w:val="none" w:sz="0" w:space="0" w:color="auto"/>
            <w:right w:val="none" w:sz="0" w:space="0" w:color="auto"/>
          </w:divBdr>
        </w:div>
        <w:div w:id="1662151458">
          <w:marLeft w:val="547"/>
          <w:marRight w:val="0"/>
          <w:marTop w:val="115"/>
          <w:marBottom w:val="0"/>
          <w:divBdr>
            <w:top w:val="none" w:sz="0" w:space="0" w:color="auto"/>
            <w:left w:val="none" w:sz="0" w:space="0" w:color="auto"/>
            <w:bottom w:val="none" w:sz="0" w:space="0" w:color="auto"/>
            <w:right w:val="none" w:sz="0" w:space="0" w:color="auto"/>
          </w:divBdr>
        </w:div>
        <w:div w:id="1827236620">
          <w:marLeft w:val="547"/>
          <w:marRight w:val="0"/>
          <w:marTop w:val="115"/>
          <w:marBottom w:val="0"/>
          <w:divBdr>
            <w:top w:val="none" w:sz="0" w:space="0" w:color="auto"/>
            <w:left w:val="none" w:sz="0" w:space="0" w:color="auto"/>
            <w:bottom w:val="none" w:sz="0" w:space="0" w:color="auto"/>
            <w:right w:val="none" w:sz="0" w:space="0" w:color="auto"/>
          </w:divBdr>
        </w:div>
        <w:div w:id="728647335">
          <w:marLeft w:val="1166"/>
          <w:marRight w:val="0"/>
          <w:marTop w:val="96"/>
          <w:marBottom w:val="0"/>
          <w:divBdr>
            <w:top w:val="none" w:sz="0" w:space="0" w:color="auto"/>
            <w:left w:val="none" w:sz="0" w:space="0" w:color="auto"/>
            <w:bottom w:val="none" w:sz="0" w:space="0" w:color="auto"/>
            <w:right w:val="none" w:sz="0" w:space="0" w:color="auto"/>
          </w:divBdr>
        </w:div>
        <w:div w:id="154565930">
          <w:marLeft w:val="1166"/>
          <w:marRight w:val="0"/>
          <w:marTop w:val="96"/>
          <w:marBottom w:val="0"/>
          <w:divBdr>
            <w:top w:val="none" w:sz="0" w:space="0" w:color="auto"/>
            <w:left w:val="none" w:sz="0" w:space="0" w:color="auto"/>
            <w:bottom w:val="none" w:sz="0" w:space="0" w:color="auto"/>
            <w:right w:val="none" w:sz="0" w:space="0" w:color="auto"/>
          </w:divBdr>
        </w:div>
        <w:div w:id="1290436603">
          <w:marLeft w:val="547"/>
          <w:marRight w:val="0"/>
          <w:marTop w:val="115"/>
          <w:marBottom w:val="0"/>
          <w:divBdr>
            <w:top w:val="none" w:sz="0" w:space="0" w:color="auto"/>
            <w:left w:val="none" w:sz="0" w:space="0" w:color="auto"/>
            <w:bottom w:val="none" w:sz="0" w:space="0" w:color="auto"/>
            <w:right w:val="none" w:sz="0" w:space="0" w:color="auto"/>
          </w:divBdr>
        </w:div>
      </w:divsChild>
    </w:div>
    <w:div w:id="1971395394">
      <w:bodyDiv w:val="1"/>
      <w:marLeft w:val="0"/>
      <w:marRight w:val="0"/>
      <w:marTop w:val="0"/>
      <w:marBottom w:val="0"/>
      <w:divBdr>
        <w:top w:val="none" w:sz="0" w:space="0" w:color="auto"/>
        <w:left w:val="none" w:sz="0" w:space="0" w:color="auto"/>
        <w:bottom w:val="none" w:sz="0" w:space="0" w:color="auto"/>
        <w:right w:val="none" w:sz="0" w:space="0" w:color="auto"/>
      </w:divBdr>
      <w:divsChild>
        <w:div w:id="515048089">
          <w:marLeft w:val="547"/>
          <w:marRight w:val="0"/>
          <w:marTop w:val="134"/>
          <w:marBottom w:val="0"/>
          <w:divBdr>
            <w:top w:val="none" w:sz="0" w:space="0" w:color="auto"/>
            <w:left w:val="none" w:sz="0" w:space="0" w:color="auto"/>
            <w:bottom w:val="none" w:sz="0" w:space="0" w:color="auto"/>
            <w:right w:val="none" w:sz="0" w:space="0" w:color="auto"/>
          </w:divBdr>
        </w:div>
        <w:div w:id="1210724405">
          <w:marLeft w:val="1440"/>
          <w:marRight w:val="0"/>
          <w:marTop w:val="115"/>
          <w:marBottom w:val="0"/>
          <w:divBdr>
            <w:top w:val="none" w:sz="0" w:space="0" w:color="auto"/>
            <w:left w:val="none" w:sz="0" w:space="0" w:color="auto"/>
            <w:bottom w:val="none" w:sz="0" w:space="0" w:color="auto"/>
            <w:right w:val="none" w:sz="0" w:space="0" w:color="auto"/>
          </w:divBdr>
        </w:div>
        <w:div w:id="1964384112">
          <w:marLeft w:val="1440"/>
          <w:marRight w:val="0"/>
          <w:marTop w:val="115"/>
          <w:marBottom w:val="0"/>
          <w:divBdr>
            <w:top w:val="none" w:sz="0" w:space="0" w:color="auto"/>
            <w:left w:val="none" w:sz="0" w:space="0" w:color="auto"/>
            <w:bottom w:val="none" w:sz="0" w:space="0" w:color="auto"/>
            <w:right w:val="none" w:sz="0" w:space="0" w:color="auto"/>
          </w:divBdr>
        </w:div>
        <w:div w:id="278494613">
          <w:marLeft w:val="1440"/>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psu.edu/browse-by-audience/faculty-staff/fixed-term-and-research-faculty-information/fixed-term-research-faculty-advisory-committee-bylaw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cure.gradsch.psu.edu/gpms/" TargetMode="External"/><Relationship Id="rId17" Type="http://schemas.openxmlformats.org/officeDocument/2006/relationships/hyperlink" Target="https://www.ems.psu.edu/sites/default/files/documents/faculty_staff/ems_fixed_term_faculty_promotion_policy_-_15_january_2018.pdf" TargetMode="External"/><Relationship Id="rId2" Type="http://schemas.openxmlformats.org/officeDocument/2006/relationships/customXml" Target="../customXml/item2.xml"/><Relationship Id="rId16" Type="http://schemas.openxmlformats.org/officeDocument/2006/relationships/hyperlink" Target="https://www.ems.psu.edu/sites/default/files/documents/faculty_staff/ems_fixed_term_faculty_promotion_policy_-_15_january_2018.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psu.edu/browse-by-audience/faculty-staff/fixed-term-and-research-faculty-information" TargetMode="External"/><Relationship Id="rId5" Type="http://schemas.openxmlformats.org/officeDocument/2006/relationships/numbering" Target="numbering.xml"/><Relationship Id="rId15" Type="http://schemas.openxmlformats.org/officeDocument/2006/relationships/hyperlink" Target="http://gradschool.psu.edu/faculty-and-staff/faculty/graduate-faculty-membership-faqs/?previewid=06ED0E2E-CAD3-E8A4-40526A0D558CFF5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gradsch.psu.edu/gp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B9F090A126D4B8091F674B4E662F3" ma:contentTypeVersion="9" ma:contentTypeDescription="Create a new document." ma:contentTypeScope="" ma:versionID="53b6d3206f3f88009b167d1e9593d87a">
  <xsd:schema xmlns:xsd="http://www.w3.org/2001/XMLSchema" xmlns:xs="http://www.w3.org/2001/XMLSchema" xmlns:p="http://schemas.microsoft.com/office/2006/metadata/properties" xmlns:ns2="39f83fb2-0d33-443e-b76c-c9a5db38b541" targetNamespace="http://schemas.microsoft.com/office/2006/metadata/properties" ma:root="true" ma:fieldsID="19bd7973035816b7bcb2f9c75d7ddf58" ns2:_="">
    <xsd:import namespace="39f83fb2-0d33-443e-b76c-c9a5db38b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83fb2-0d33-443e-b76c-c9a5db38b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15809B-3C96-4649-B8FE-EE6AF2DE2B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5D4F5-451D-4698-BCDC-2D305D52E16F}">
  <ds:schemaRefs>
    <ds:schemaRef ds:uri="http://schemas.microsoft.com/sharepoint/v3/contenttype/forms"/>
  </ds:schemaRefs>
</ds:datastoreItem>
</file>

<file path=customXml/itemProps3.xml><?xml version="1.0" encoding="utf-8"?>
<ds:datastoreItem xmlns:ds="http://schemas.openxmlformats.org/officeDocument/2006/customXml" ds:itemID="{B01F97A1-1FE5-4F9B-8F82-B1D6A08DD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83fb2-0d33-443e-b76c-c9a5db38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32C1A-674F-A54E-9A98-DDA12316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Persing, Lynn</cp:lastModifiedBy>
  <cp:revision>6</cp:revision>
  <cp:lastPrinted>2018-09-10T14:44:00Z</cp:lastPrinted>
  <dcterms:created xsi:type="dcterms:W3CDTF">2018-11-12T21:41:00Z</dcterms:created>
  <dcterms:modified xsi:type="dcterms:W3CDTF">2023-07-11T12:20:00Z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0x01010048BB9F090A126D4B8091F674B4E662F3</vt:lpwstr>
  </property>
</Properties>
</file>